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DF" w:rsidRPr="00F960CD" w:rsidRDefault="0027078C" w:rsidP="00684364">
      <w:pPr>
        <w:tabs>
          <w:tab w:val="num" w:pos="720"/>
          <w:tab w:val="num" w:pos="1440"/>
        </w:tabs>
        <w:spacing w:line="360" w:lineRule="auto"/>
        <w:jc w:val="both"/>
        <w:rPr>
          <w:sz w:val="24"/>
          <w:szCs w:val="24"/>
        </w:rPr>
      </w:pPr>
      <w:bookmarkStart w:id="0" w:name="_GoBack"/>
      <w:bookmarkEnd w:id="0"/>
      <w:r w:rsidRPr="00F960CD">
        <w:rPr>
          <w:b/>
          <w:bCs/>
          <w:sz w:val="24"/>
          <w:szCs w:val="24"/>
        </w:rPr>
        <w:t xml:space="preserve">ACTA SESIÓN ORDINARIA </w:t>
      </w:r>
      <w:r w:rsidR="00EC2278" w:rsidRPr="00F960CD">
        <w:rPr>
          <w:rFonts w:eastAsia="Calibri"/>
          <w:b/>
          <w:sz w:val="24"/>
          <w:szCs w:val="24"/>
        </w:rPr>
        <w:t>Nº010</w:t>
      </w:r>
      <w:r w:rsidRPr="00F960CD">
        <w:rPr>
          <w:rFonts w:eastAsia="Calibri"/>
          <w:b/>
          <w:sz w:val="24"/>
          <w:szCs w:val="24"/>
        </w:rPr>
        <w:t>-2022</w:t>
      </w:r>
      <w:r w:rsidRPr="00F960CD">
        <w:rPr>
          <w:b/>
          <w:bCs/>
          <w:sz w:val="24"/>
          <w:szCs w:val="24"/>
        </w:rPr>
        <w:t>-------------------------------------------------------------------------</w:t>
      </w:r>
      <w:r w:rsidRPr="00F960CD">
        <w:rPr>
          <w:rFonts w:eastAsia="Calibri"/>
          <w:sz w:val="24"/>
          <w:szCs w:val="24"/>
        </w:rPr>
        <w:t xml:space="preserve">Acta número cinco de la sesión ordinaria celebrada de forma virtual por el Consejo de Salud </w:t>
      </w:r>
      <w:r w:rsidRPr="00F960CD">
        <w:rPr>
          <w:rFonts w:eastAsia="Calibri"/>
          <w:sz w:val="24"/>
          <w:szCs w:val="24"/>
          <w:shd w:val="clear" w:color="auto" w:fill="FFFFFF" w:themeFill="background1"/>
        </w:rPr>
        <w:t>Ocupacional a las</w:t>
      </w:r>
      <w:r w:rsidR="00523F67" w:rsidRPr="00F960CD">
        <w:rPr>
          <w:rFonts w:eastAsia="Calibri"/>
          <w:sz w:val="24"/>
          <w:szCs w:val="24"/>
          <w:shd w:val="clear" w:color="auto" w:fill="FFFFFF" w:themeFill="background1"/>
        </w:rPr>
        <w:t xml:space="preserve"> </w:t>
      </w:r>
      <w:r w:rsidR="00F847C2" w:rsidRPr="00F960CD">
        <w:rPr>
          <w:rFonts w:eastAsia="Calibri"/>
          <w:sz w:val="24"/>
          <w:szCs w:val="24"/>
          <w:shd w:val="clear" w:color="auto" w:fill="FFFFFF" w:themeFill="background1"/>
        </w:rPr>
        <w:t xml:space="preserve">dieciséis horas y treinta y un minutos </w:t>
      </w:r>
      <w:r w:rsidRPr="00F960CD">
        <w:rPr>
          <w:rFonts w:eastAsia="Calibri"/>
          <w:sz w:val="24"/>
          <w:szCs w:val="24"/>
          <w:shd w:val="clear" w:color="auto" w:fill="FFFFFF" w:themeFill="background1"/>
        </w:rPr>
        <w:t xml:space="preserve">del miércoles </w:t>
      </w:r>
      <w:r w:rsidR="00EC2278" w:rsidRPr="00F960CD">
        <w:rPr>
          <w:rFonts w:eastAsia="Calibri"/>
          <w:sz w:val="24"/>
          <w:szCs w:val="24"/>
          <w:shd w:val="clear" w:color="auto" w:fill="FFFFFF" w:themeFill="background1"/>
        </w:rPr>
        <w:t>27</w:t>
      </w:r>
      <w:r w:rsidR="00523F67" w:rsidRPr="00F960CD">
        <w:rPr>
          <w:rFonts w:eastAsia="Calibri"/>
          <w:sz w:val="24"/>
          <w:szCs w:val="24"/>
          <w:shd w:val="clear" w:color="auto" w:fill="FFFFFF" w:themeFill="background1"/>
        </w:rPr>
        <w:t xml:space="preserve"> de abril</w:t>
      </w:r>
      <w:r w:rsidRPr="00F960CD">
        <w:rPr>
          <w:rFonts w:eastAsia="Calibri"/>
          <w:sz w:val="24"/>
          <w:szCs w:val="24"/>
          <w:shd w:val="clear" w:color="auto" w:fill="FFFFFF" w:themeFill="background1"/>
        </w:rPr>
        <w:t xml:space="preserve"> del</w:t>
      </w:r>
      <w:r w:rsidRPr="00F960CD">
        <w:rPr>
          <w:rFonts w:eastAsia="Calibri"/>
          <w:sz w:val="24"/>
          <w:szCs w:val="24"/>
        </w:rPr>
        <w:t xml:space="preserve"> año dos mil veintidós, presidida por el Sr. Ricardo Marín Azofeifa, Viceministro de Trabajo, con la asistencia de los siguientes miembros; Dra. Patricia Redondo Escalante, representante de la Caja Costarricense del Seguro Social; </w:t>
      </w:r>
      <w:r w:rsidR="00523F67" w:rsidRPr="00F960CD">
        <w:rPr>
          <w:rFonts w:eastAsia="Calibri"/>
          <w:sz w:val="24"/>
          <w:szCs w:val="24"/>
        </w:rPr>
        <w:t xml:space="preserve">Ing. Daisy Benítez Rodríguez, representante del Ministerio de Salud; </w:t>
      </w:r>
      <w:r w:rsidRPr="00F960CD">
        <w:rPr>
          <w:rFonts w:eastAsia="Calibri"/>
          <w:sz w:val="24"/>
          <w:szCs w:val="24"/>
        </w:rPr>
        <w:t>Sra. Laura Rivera Castrillo y Sr. Olman Chinchilla Hernández, representantes de los trabajadores; Sr. Walter Castro Mora y Sr. Sergio Laprade Coto representantes del sector patronal y la Sr.; Sra. María Gabriela Valverde Fallas, Directora Ejecutiva y Secretaría Técnica del Consejo. ---------------------------------------------------------------------</w:t>
      </w:r>
      <w:r w:rsidR="004469B4" w:rsidRPr="00F960CD">
        <w:rPr>
          <w:rFonts w:eastAsia="Calibri"/>
          <w:sz w:val="24"/>
          <w:szCs w:val="24"/>
        </w:rPr>
        <w:t>-</w:t>
      </w:r>
      <w:r w:rsidR="00523F67" w:rsidRPr="00F960CD">
        <w:rPr>
          <w:rFonts w:eastAsia="Calibri"/>
          <w:sz w:val="24"/>
          <w:szCs w:val="24"/>
        </w:rPr>
        <w:t>-------------------</w:t>
      </w:r>
      <w:r w:rsidR="00F847C2" w:rsidRPr="00F960CD">
        <w:rPr>
          <w:rFonts w:eastAsia="Calibri"/>
          <w:sz w:val="24"/>
          <w:szCs w:val="24"/>
        </w:rPr>
        <w:t xml:space="preserve">Al ser las </w:t>
      </w:r>
      <w:r w:rsidR="00F847C2" w:rsidRPr="00F960CD">
        <w:rPr>
          <w:rFonts w:eastAsia="Calibri"/>
          <w:sz w:val="24"/>
          <w:szCs w:val="24"/>
          <w:shd w:val="clear" w:color="auto" w:fill="FFFFFF" w:themeFill="background1"/>
        </w:rPr>
        <w:t xml:space="preserve">dieciséis horas y treinta y dos minutos se integra la </w:t>
      </w:r>
      <w:r w:rsidR="00F847C2" w:rsidRPr="00F960CD">
        <w:rPr>
          <w:rFonts w:eastAsia="Calibri"/>
          <w:sz w:val="24"/>
          <w:szCs w:val="24"/>
        </w:rPr>
        <w:t>Sra. Laura Rivera Castrillo, representante del sector sindical. -------------------------------------------------------------------------------------------------------------</w:t>
      </w:r>
      <w:r w:rsidR="00EC2278" w:rsidRPr="00F960CD">
        <w:rPr>
          <w:rFonts w:eastAsia="Calibri"/>
          <w:sz w:val="24"/>
          <w:szCs w:val="24"/>
        </w:rPr>
        <w:t>Ausente con justificación la Dra. D´Ángela Esquivel Pereira, representante del Instituto Nacional de Seguros. ---------------------------------------------------------------------------------------------------------------------</w:t>
      </w:r>
      <w:r w:rsidR="00F329DF" w:rsidRPr="00F960CD">
        <w:rPr>
          <w:b/>
          <w:sz w:val="24"/>
          <w:szCs w:val="24"/>
        </w:rPr>
        <w:t>CAPÍTULO I.</w:t>
      </w:r>
      <w:r w:rsidR="00F329DF" w:rsidRPr="00F960CD">
        <w:rPr>
          <w:sz w:val="24"/>
          <w:szCs w:val="24"/>
        </w:rPr>
        <w:t xml:space="preserve"> Lectura y discusión del Orden del Día</w:t>
      </w:r>
      <w:r w:rsidR="00F847C2" w:rsidRPr="00F960CD">
        <w:rPr>
          <w:sz w:val="24"/>
          <w:szCs w:val="24"/>
        </w:rPr>
        <w:t>. ---------------------------------------------------------</w:t>
      </w:r>
      <w:r w:rsidR="00F960CD">
        <w:rPr>
          <w:sz w:val="24"/>
          <w:szCs w:val="24"/>
        </w:rPr>
        <w:t>----</w:t>
      </w:r>
      <w:r w:rsidR="00F329DF" w:rsidRPr="00F960CD">
        <w:rPr>
          <w:b/>
          <w:bCs/>
          <w:sz w:val="24"/>
          <w:szCs w:val="24"/>
        </w:rPr>
        <w:t>ARTÍCULO</w:t>
      </w:r>
      <w:r w:rsidR="00F960CD">
        <w:rPr>
          <w:b/>
          <w:bCs/>
          <w:sz w:val="24"/>
          <w:szCs w:val="24"/>
        </w:rPr>
        <w:t xml:space="preserve"> 1</w:t>
      </w:r>
      <w:r w:rsidR="00F329DF" w:rsidRPr="00F960CD">
        <w:rPr>
          <w:b/>
          <w:bCs/>
          <w:sz w:val="24"/>
          <w:szCs w:val="24"/>
        </w:rPr>
        <w:t>:</w:t>
      </w:r>
      <w:r w:rsidR="00F329DF" w:rsidRPr="00F960CD">
        <w:rPr>
          <w:sz w:val="24"/>
          <w:szCs w:val="24"/>
        </w:rPr>
        <w:t xml:space="preserve"> lectura y discusión del Orden del Día de la sesión Ordinaria N° 010-2022 correspondiente al miércoles 27 de abril del 2022</w:t>
      </w:r>
      <w:r w:rsidR="00F960CD">
        <w:rPr>
          <w:sz w:val="24"/>
          <w:szCs w:val="24"/>
        </w:rPr>
        <w:t>. ---------------------------------------------------------------------------------------</w:t>
      </w:r>
      <w:r w:rsidR="00F960CD" w:rsidRPr="00F960CD">
        <w:rPr>
          <w:b/>
          <w:sz w:val="24"/>
          <w:szCs w:val="24"/>
        </w:rPr>
        <w:t>ACUERDO N° 001-2022:</w:t>
      </w:r>
      <w:r w:rsidR="00F960CD">
        <w:rPr>
          <w:sz w:val="24"/>
          <w:szCs w:val="24"/>
        </w:rPr>
        <w:t xml:space="preserve"> se aprueba el </w:t>
      </w:r>
      <w:r w:rsidR="00F960CD" w:rsidRPr="00F960CD">
        <w:rPr>
          <w:sz w:val="24"/>
          <w:szCs w:val="24"/>
        </w:rPr>
        <w:t>Orden del Día de la sesión Ordinaria N° 010-2022 correspondiente al miércoles 27 de abril del 2022</w:t>
      </w:r>
      <w:r w:rsidR="00F960CD">
        <w:rPr>
          <w:sz w:val="24"/>
          <w:szCs w:val="24"/>
        </w:rPr>
        <w:t>. 6 votos a favor. Por unanimidad de los presentes. ---------------------------</w:t>
      </w:r>
      <w:bookmarkStart w:id="1" w:name="_Hlk480835756"/>
      <w:r w:rsidR="00F329DF" w:rsidRPr="00F960CD">
        <w:rPr>
          <w:b/>
          <w:sz w:val="24"/>
          <w:szCs w:val="24"/>
        </w:rPr>
        <w:t>CAPÍTULO II</w:t>
      </w:r>
      <w:r w:rsidR="00F329DF" w:rsidRPr="00F960CD">
        <w:rPr>
          <w:sz w:val="24"/>
          <w:szCs w:val="24"/>
        </w:rPr>
        <w:t>. Lectura, aprobación o modificación de actas</w:t>
      </w:r>
      <w:r w:rsidR="00F960CD">
        <w:rPr>
          <w:sz w:val="24"/>
          <w:szCs w:val="24"/>
        </w:rPr>
        <w:t>. -----------------------------------------------------</w:t>
      </w:r>
      <w:r w:rsidR="00F329DF" w:rsidRPr="00F960CD">
        <w:rPr>
          <w:b/>
          <w:bCs/>
          <w:sz w:val="24"/>
          <w:szCs w:val="24"/>
        </w:rPr>
        <w:t>ARTÍCULO</w:t>
      </w:r>
      <w:r w:rsidR="00F960CD">
        <w:rPr>
          <w:b/>
          <w:bCs/>
          <w:sz w:val="24"/>
          <w:szCs w:val="24"/>
        </w:rPr>
        <w:t xml:space="preserve"> 2</w:t>
      </w:r>
      <w:r w:rsidR="00F329DF" w:rsidRPr="00F960CD">
        <w:rPr>
          <w:sz w:val="24"/>
          <w:szCs w:val="24"/>
        </w:rPr>
        <w:t>: Lectura, aprobación o modificación del Acta de la sesión ordinaria N° 008-2021 del miércoles 20 de abril del 2022</w:t>
      </w:r>
      <w:r w:rsidR="00F960CD">
        <w:rPr>
          <w:sz w:val="24"/>
          <w:szCs w:val="24"/>
        </w:rPr>
        <w:t>. ------------------------------------------------------------------------------------------</w:t>
      </w:r>
      <w:r w:rsidR="00F960CD" w:rsidRPr="00F960CD">
        <w:rPr>
          <w:b/>
          <w:sz w:val="24"/>
          <w:szCs w:val="24"/>
        </w:rPr>
        <w:t>ACUERDO N° 002-2022</w:t>
      </w:r>
      <w:r w:rsidR="00F960CD">
        <w:rPr>
          <w:sz w:val="24"/>
          <w:szCs w:val="24"/>
        </w:rPr>
        <w:t xml:space="preserve">: sea prueba el </w:t>
      </w:r>
      <w:r w:rsidR="00F960CD" w:rsidRPr="00F960CD">
        <w:rPr>
          <w:sz w:val="24"/>
          <w:szCs w:val="24"/>
        </w:rPr>
        <w:t>Acta de la sesión ordinaria N° 008-2021 del miércoles 20 de abril del 2022</w:t>
      </w:r>
      <w:r w:rsidR="00F960CD">
        <w:rPr>
          <w:sz w:val="24"/>
          <w:szCs w:val="24"/>
        </w:rPr>
        <w:t>. 7 votos a favor. Por unanimidad de los presentes. --------------------------------------------------------</w:t>
      </w:r>
      <w:bookmarkEnd w:id="1"/>
      <w:r w:rsidR="00F329DF" w:rsidRPr="00F960CD">
        <w:rPr>
          <w:b/>
          <w:sz w:val="24"/>
          <w:szCs w:val="24"/>
        </w:rPr>
        <w:t xml:space="preserve">CAPÍTULO III.  </w:t>
      </w:r>
      <w:r w:rsidR="00F329DF" w:rsidRPr="00F960CD">
        <w:rPr>
          <w:sz w:val="24"/>
          <w:szCs w:val="24"/>
        </w:rPr>
        <w:t>Audiencias</w:t>
      </w:r>
      <w:r w:rsidR="00F960CD">
        <w:rPr>
          <w:sz w:val="24"/>
          <w:szCs w:val="24"/>
        </w:rPr>
        <w:t>. -------------------------------------------------------------------------------------------</w:t>
      </w:r>
      <w:r w:rsidR="00F329DF" w:rsidRPr="00F960CD">
        <w:rPr>
          <w:b/>
          <w:sz w:val="24"/>
          <w:szCs w:val="24"/>
        </w:rPr>
        <w:t>ARTÍCULO</w:t>
      </w:r>
      <w:r w:rsidR="00F960CD">
        <w:rPr>
          <w:b/>
          <w:sz w:val="24"/>
          <w:szCs w:val="24"/>
        </w:rPr>
        <w:t xml:space="preserve"> 3</w:t>
      </w:r>
      <w:r w:rsidR="00F329DF" w:rsidRPr="00F960CD">
        <w:rPr>
          <w:b/>
          <w:sz w:val="24"/>
          <w:szCs w:val="24"/>
        </w:rPr>
        <w:t xml:space="preserve">: </w:t>
      </w:r>
      <w:r w:rsidR="00F329DF" w:rsidRPr="00F960CD">
        <w:rPr>
          <w:sz w:val="24"/>
          <w:szCs w:val="24"/>
        </w:rPr>
        <w:t>Grupo de Organizaciones Sociales. Tema: Preocupaciones sobre el acceso al seguro de Riesgos del Trabajo y los derechos derivados de él (20 minutos)</w:t>
      </w:r>
      <w:r w:rsidR="00F960CD">
        <w:rPr>
          <w:sz w:val="24"/>
          <w:szCs w:val="24"/>
        </w:rPr>
        <w:t>. -------------------------------------------------</w:t>
      </w:r>
      <w:r w:rsidR="00F960CD">
        <w:rPr>
          <w:sz w:val="24"/>
          <w:szCs w:val="24"/>
        </w:rPr>
        <w:lastRenderedPageBreak/>
        <w:t>Se recibe en audiencia a los señores: Mauricio Castro Médez, Carlos Quiróz, Santiago Ramírez, Didier Alexánder Leitón, Ligia Lamich Meléndez, Saray de SINTRAICA, Elvis R</w:t>
      </w:r>
      <w:r w:rsidR="001A0749">
        <w:rPr>
          <w:sz w:val="24"/>
          <w:szCs w:val="24"/>
        </w:rPr>
        <w:t xml:space="preserve">ivas. El Sr. Mauricio Castro Méndez </w:t>
      </w:r>
      <w:r w:rsidR="00691893">
        <w:rPr>
          <w:sz w:val="24"/>
          <w:szCs w:val="24"/>
        </w:rPr>
        <w:t xml:space="preserve">quien pone a disposición </w:t>
      </w:r>
      <w:hyperlink r:id="rId7" w:history="1">
        <w:r w:rsidR="00691893" w:rsidRPr="00691893">
          <w:rPr>
            <w:rStyle w:val="Hipervnculo"/>
            <w:sz w:val="24"/>
            <w:szCs w:val="24"/>
          </w:rPr>
          <w:t>link de consulta</w:t>
        </w:r>
      </w:hyperlink>
      <w:r w:rsidR="00691893">
        <w:rPr>
          <w:sz w:val="24"/>
          <w:szCs w:val="24"/>
        </w:rPr>
        <w:t xml:space="preserve"> </w:t>
      </w:r>
      <w:r w:rsidR="00155D1B">
        <w:rPr>
          <w:sz w:val="24"/>
          <w:szCs w:val="24"/>
        </w:rPr>
        <w:t>que resume la síntesis de lo que se va exponer el día de hoy:</w:t>
      </w:r>
      <w:r w:rsidR="00691893">
        <w:rPr>
          <w:sz w:val="24"/>
          <w:szCs w:val="24"/>
        </w:rPr>
        <w:t xml:space="preserve"> “</w:t>
      </w:r>
      <w:r w:rsidR="00691893" w:rsidRPr="00691893">
        <w:rPr>
          <w:sz w:val="24"/>
          <w:szCs w:val="24"/>
        </w:rPr>
        <w:t>Limitaciones en el acceso efectivo al seguro de riesgos de trabajo. </w:t>
      </w:r>
      <w:r w:rsidR="00155D1B" w:rsidRPr="00691893">
        <w:rPr>
          <w:sz w:val="24"/>
          <w:szCs w:val="24"/>
        </w:rPr>
        <w:t>Valoración</w:t>
      </w:r>
      <w:r w:rsidR="00691893" w:rsidRPr="00691893">
        <w:rPr>
          <w:sz w:val="24"/>
          <w:szCs w:val="24"/>
        </w:rPr>
        <w:t xml:space="preserve"> </w:t>
      </w:r>
      <w:r w:rsidR="00155D1B" w:rsidRPr="00691893">
        <w:rPr>
          <w:sz w:val="24"/>
          <w:szCs w:val="24"/>
        </w:rPr>
        <w:t>jurídica</w:t>
      </w:r>
      <w:r w:rsidR="00691893" w:rsidRPr="00691893">
        <w:rPr>
          <w:sz w:val="24"/>
          <w:szCs w:val="24"/>
        </w:rPr>
        <w:t xml:space="preserve"> de los "cuellos de botella" existentes</w:t>
      </w:r>
      <w:r w:rsidR="00691893" w:rsidRPr="00155D1B">
        <w:rPr>
          <w:sz w:val="24"/>
          <w:szCs w:val="24"/>
        </w:rPr>
        <w:t xml:space="preserve">”: </w:t>
      </w:r>
      <w:r w:rsidR="00155D1B" w:rsidRPr="00155D1B">
        <w:rPr>
          <w:sz w:val="24"/>
          <w:szCs w:val="24"/>
        </w:rPr>
        <w:t>A pesar de haber sido reformado el marco regulatorio de los seguros obligatorios, incluyendo al seguro de riesgos de trabajo, el INS no ha adaptado su práctica administrativa y continúa tratando a las personas trabajadoras como objeto del seguro y no como sujeto de derecho, de manera que continúa supeditando el ejercicio de sus derechos a la voluntad unilateral de su empleador. Para la medicación de sus prácticas no se requiere ninguna reforma legal, sino adaptar sus prácticas administrativas a lo dispuesto por el marco legal vigente. Es además competencia de la Superinten</w:t>
      </w:r>
      <w:r w:rsidR="00155D1B">
        <w:rPr>
          <w:sz w:val="24"/>
          <w:szCs w:val="24"/>
        </w:rPr>
        <w:t>den</w:t>
      </w:r>
      <w:r w:rsidR="00155D1B" w:rsidRPr="00155D1B">
        <w:rPr>
          <w:sz w:val="24"/>
          <w:szCs w:val="24"/>
        </w:rPr>
        <w:t>cia General de Seguros, así como del Ministerio de Trabajo y Seguridad Social, velar porque el INS garantice el acceso directo a las personas aseguradas como titulares de derechos derivados del seguro de riesgos de trabajo. Resulta ilegal el rechazo ad portas de los casos sobre riesgos de trabajo, por la voluntad unilateral del empleador. La comunicación de los riesgos de trabajo no solo es posible sino una obligación de las personas trabajadoras, de manera complementaria, independiente o contradictoria con lo que el empleador decida comunicar, no comunicar o con los términos de esa denuncia. La combinación de</w:t>
      </w:r>
      <w:r w:rsidR="00155D1B">
        <w:rPr>
          <w:sz w:val="24"/>
          <w:szCs w:val="24"/>
        </w:rPr>
        <w:t xml:space="preserve"> la potestad unilateral de califi</w:t>
      </w:r>
      <w:r w:rsidR="00155D1B" w:rsidRPr="00155D1B">
        <w:rPr>
          <w:sz w:val="24"/>
          <w:szCs w:val="24"/>
        </w:rPr>
        <w:t>cación del evento como r</w:t>
      </w:r>
      <w:r w:rsidR="00155D1B">
        <w:rPr>
          <w:sz w:val="24"/>
          <w:szCs w:val="24"/>
        </w:rPr>
        <w:t>iesgo de trabajo o no, y la confi</w:t>
      </w:r>
      <w:r w:rsidR="00155D1B" w:rsidRPr="00155D1B">
        <w:rPr>
          <w:sz w:val="24"/>
          <w:szCs w:val="24"/>
        </w:rPr>
        <w:t>guración de los incentivos diseñados por el INS, hacen que se fomente y se premie al empleador que no reporte los riesgos de trabajo efectivamente ocurridos, ya que estos no serán considerados en el estudio de siniestralidad del que dependen los recargos o deducciones de las primas de renovación de la póliza. Con ello, el acceso a los incentivos se puede lograr con el esfuerzo, la inversión y desarrollo de políticas de prevención y salud ocupacional en la empresa, o bien, por medio de la violación del deber de comunicación de los riesgos de trabajo ocurridos al INS. Es decir, el empleador</w:t>
      </w:r>
      <w:r w:rsidR="00155D1B">
        <w:rPr>
          <w:sz w:val="24"/>
          <w:szCs w:val="24"/>
        </w:rPr>
        <w:t xml:space="preserve"> puede benefi</w:t>
      </w:r>
      <w:r w:rsidR="00155D1B" w:rsidRPr="00155D1B">
        <w:rPr>
          <w:sz w:val="24"/>
          <w:szCs w:val="24"/>
        </w:rPr>
        <w:t xml:space="preserve">ciarse con los incentivos del INS si logra ocultar el siniestro ilícitamente el siniestro. Esto hace que sea necesario medicar el sistema de incentivos para garantizar que cumpla su </w:t>
      </w:r>
      <w:r w:rsidR="00155D1B">
        <w:rPr>
          <w:sz w:val="24"/>
          <w:szCs w:val="24"/>
        </w:rPr>
        <w:t>fi</w:t>
      </w:r>
      <w:r w:rsidR="00155D1B" w:rsidRPr="00155D1B">
        <w:rPr>
          <w:sz w:val="24"/>
          <w:szCs w:val="24"/>
        </w:rPr>
        <w:t xml:space="preserve">nalidad: promover la salud ocupacional y la prevención de riesgos de trabajo, en resguardo del deber de indemnidad que los empleadores poseen frente a las personas trabajadoras; y sancionar y castigar </w:t>
      </w:r>
      <w:r w:rsidR="00155D1B" w:rsidRPr="00155D1B">
        <w:rPr>
          <w:sz w:val="24"/>
          <w:szCs w:val="24"/>
        </w:rPr>
        <w:lastRenderedPageBreak/>
        <w:t>económicamente con el encarecimiento de la póliza, a quienes no desarrollen una política efcaz de salud ocupacional y de prevención de riesgos, y a quienes incumplan sus obligaciones relacionadas con el seguro de riesgos de trabajo, incluyendo la no comunicación oportuna y honesta de los riesgos de trabajo ocurridos al INS. La jurisprudencia de la Sala Segunda fomenta la displicencia frente a la salud ocupacional, y no reconoce el derecho a la indemnización plena de los daños producidos por riesgos de trabajo. Esto no solo violenta derechos humanos constitucionales de las personas trabajadoras, sino que, en conjunción con el sistema de incentivos vigente y el poder unilateral conferido ilegalmente a</w:t>
      </w:r>
      <w:r w:rsidR="00155D1B">
        <w:rPr>
          <w:sz w:val="24"/>
          <w:szCs w:val="24"/>
        </w:rPr>
        <w:t>l empleador respecto de la califi</w:t>
      </w:r>
      <w:r w:rsidR="00155D1B" w:rsidRPr="00155D1B">
        <w:rPr>
          <w:sz w:val="24"/>
          <w:szCs w:val="24"/>
        </w:rPr>
        <w:t>cación del riesgo de trabajo y la apertura de casos por este tipo de siniestros, contribuye al deterioro de la salud ocupacional y al incumplimiento del deber de indemnidad frente a las personas trabajadoras.</w:t>
      </w:r>
      <w:r w:rsidR="00155D1B">
        <w:rPr>
          <w:sz w:val="24"/>
          <w:szCs w:val="24"/>
        </w:rPr>
        <w:t xml:space="preserve"> –</w:t>
      </w:r>
      <w:r w:rsidR="00155D1B" w:rsidRPr="00684364">
        <w:rPr>
          <w:b/>
          <w:sz w:val="24"/>
          <w:szCs w:val="24"/>
        </w:rPr>
        <w:t>ACUERDO N° 003-2022:</w:t>
      </w:r>
      <w:r w:rsidR="00155D1B">
        <w:rPr>
          <w:sz w:val="24"/>
          <w:szCs w:val="24"/>
        </w:rPr>
        <w:t xml:space="preserve"> </w:t>
      </w:r>
      <w:r w:rsidR="00970C64">
        <w:rPr>
          <w:sz w:val="24"/>
          <w:szCs w:val="24"/>
        </w:rPr>
        <w:t xml:space="preserve">con respecto al tema planteado por los representantes sindicales sobre </w:t>
      </w:r>
      <w:r w:rsidR="00970C64" w:rsidRPr="00F960CD">
        <w:rPr>
          <w:sz w:val="24"/>
          <w:szCs w:val="24"/>
        </w:rPr>
        <w:t>Preocupaciones sobre el acceso al seguro de Riesgos del Trabajo y los derechos derivados de él</w:t>
      </w:r>
      <w:r w:rsidR="00970C64">
        <w:rPr>
          <w:sz w:val="24"/>
          <w:szCs w:val="24"/>
        </w:rPr>
        <w:t xml:space="preserve"> se acuerda enviar matriz al Asesor Legal para que emite un criterio al respecto, convocar audiencia a representantes del Instituto Nacional de Seguros para conocer su criterio con respecto al tema, presentar un plan con respecto a la investigación </w:t>
      </w:r>
      <w:r w:rsidR="00684364">
        <w:rPr>
          <w:sz w:val="24"/>
          <w:szCs w:val="24"/>
        </w:rPr>
        <w:t xml:space="preserve">de accidentes. </w:t>
      </w:r>
      <w:r w:rsidR="00970C64">
        <w:rPr>
          <w:sz w:val="24"/>
          <w:szCs w:val="24"/>
        </w:rPr>
        <w:t xml:space="preserve">7 votos a favor. </w:t>
      </w:r>
      <w:r w:rsidR="00684364">
        <w:rPr>
          <w:sz w:val="24"/>
          <w:szCs w:val="24"/>
        </w:rPr>
        <w:t>----------------------------------------------------------</w:t>
      </w:r>
      <w:r w:rsidR="00970C64">
        <w:rPr>
          <w:sz w:val="24"/>
          <w:szCs w:val="24"/>
        </w:rPr>
        <w:t>Por unanimidad de los presentes.---------------------------------------------------------------------------------</w:t>
      </w:r>
      <w:r w:rsidR="00F329DF" w:rsidRPr="00155D1B">
        <w:rPr>
          <w:b/>
          <w:sz w:val="24"/>
          <w:szCs w:val="24"/>
        </w:rPr>
        <w:t>CAPÍTULO IV.</w:t>
      </w:r>
      <w:r w:rsidR="00F329DF" w:rsidRPr="00155D1B">
        <w:rPr>
          <w:sz w:val="24"/>
          <w:szCs w:val="24"/>
        </w:rPr>
        <w:t xml:space="preserve"> Informes de Correspondencia</w:t>
      </w:r>
      <w:r w:rsidR="00691893" w:rsidRPr="00155D1B">
        <w:rPr>
          <w:sz w:val="24"/>
          <w:szCs w:val="24"/>
        </w:rPr>
        <w:t>.----------------------------------------------------------------------</w:t>
      </w:r>
      <w:r w:rsidR="00F329DF" w:rsidRPr="00F960CD">
        <w:rPr>
          <w:sz w:val="24"/>
          <w:szCs w:val="24"/>
        </w:rPr>
        <w:t>No hay</w:t>
      </w:r>
      <w:r w:rsidR="00691893">
        <w:rPr>
          <w:sz w:val="24"/>
          <w:szCs w:val="24"/>
        </w:rPr>
        <w:t>. ----------------------------------------------------------------------------------------------------------------------</w:t>
      </w:r>
      <w:r w:rsidR="00F329DF" w:rsidRPr="00F960CD">
        <w:rPr>
          <w:b/>
          <w:sz w:val="24"/>
          <w:szCs w:val="24"/>
        </w:rPr>
        <w:t>CAPÍTULO V.</w:t>
      </w:r>
      <w:r w:rsidR="00F329DF" w:rsidRPr="00F960CD">
        <w:rPr>
          <w:sz w:val="24"/>
          <w:szCs w:val="24"/>
        </w:rPr>
        <w:t xml:space="preserve"> Informes Ordinarios</w:t>
      </w:r>
      <w:r w:rsidR="00691893">
        <w:rPr>
          <w:sz w:val="24"/>
          <w:szCs w:val="24"/>
        </w:rPr>
        <w:t>. ----------------------------------------------------------------------------------</w:t>
      </w:r>
      <w:r w:rsidR="00F329DF" w:rsidRPr="00F960CD">
        <w:rPr>
          <w:i/>
          <w:sz w:val="24"/>
          <w:szCs w:val="24"/>
        </w:rPr>
        <w:t>5.1 Informes de la Presidencia</w:t>
      </w:r>
      <w:r w:rsidR="00691893">
        <w:rPr>
          <w:i/>
          <w:sz w:val="24"/>
          <w:szCs w:val="24"/>
        </w:rPr>
        <w:t>. ------------------------------------------------------------------------------------------</w:t>
      </w:r>
      <w:r w:rsidR="00F329DF" w:rsidRPr="00F960CD">
        <w:rPr>
          <w:sz w:val="24"/>
          <w:szCs w:val="24"/>
        </w:rPr>
        <w:t>No hay</w:t>
      </w:r>
      <w:r w:rsidR="00691893">
        <w:rPr>
          <w:sz w:val="24"/>
          <w:szCs w:val="24"/>
        </w:rPr>
        <w:t>. ----------------------------------------------------------------------------------------------------------------------</w:t>
      </w:r>
      <w:r w:rsidR="00F329DF" w:rsidRPr="00F960CD">
        <w:rPr>
          <w:i/>
          <w:sz w:val="24"/>
          <w:szCs w:val="24"/>
        </w:rPr>
        <w:t>5.2 Informes de la Dirección Ejecutiva</w:t>
      </w:r>
      <w:r w:rsidR="00691893">
        <w:rPr>
          <w:i/>
          <w:sz w:val="24"/>
          <w:szCs w:val="24"/>
        </w:rPr>
        <w:t>. --------------------------------------------------------------------------------</w:t>
      </w:r>
      <w:r w:rsidR="00F329DF" w:rsidRPr="00F960CD">
        <w:rPr>
          <w:b/>
          <w:sz w:val="24"/>
          <w:szCs w:val="24"/>
        </w:rPr>
        <w:t>ARTÍCULO</w:t>
      </w:r>
      <w:r w:rsidR="00691893">
        <w:rPr>
          <w:b/>
          <w:sz w:val="24"/>
          <w:szCs w:val="24"/>
        </w:rPr>
        <w:t xml:space="preserve"> 4</w:t>
      </w:r>
      <w:r w:rsidR="00F329DF" w:rsidRPr="00F960CD">
        <w:rPr>
          <w:b/>
          <w:sz w:val="24"/>
          <w:szCs w:val="24"/>
        </w:rPr>
        <w:t>:</w:t>
      </w:r>
      <w:r w:rsidR="00F329DF" w:rsidRPr="00F960CD">
        <w:rPr>
          <w:sz w:val="24"/>
          <w:szCs w:val="24"/>
        </w:rPr>
        <w:t xml:space="preserve"> Convenios ULACIT y TEC</w:t>
      </w:r>
      <w:r w:rsidR="00691893">
        <w:rPr>
          <w:sz w:val="24"/>
          <w:szCs w:val="24"/>
        </w:rPr>
        <w:t>. -------------------------------------------------------------------------La Dirección Ejecutiva indica que ambos convenios se elaboraron conforme al machote aprobado por la Junta y lo único que cambia son algunos aspectos propios de cada Institución, se da lectura a los cambios en cada uno de ellos. ------------------------------------------------------------------------------------------------------</w:t>
      </w:r>
      <w:r w:rsidR="00691893" w:rsidRPr="00691893">
        <w:rPr>
          <w:b/>
          <w:sz w:val="24"/>
          <w:szCs w:val="24"/>
        </w:rPr>
        <w:t>ACUERDO N° 004-2022</w:t>
      </w:r>
      <w:r w:rsidR="00691893">
        <w:rPr>
          <w:sz w:val="24"/>
          <w:szCs w:val="24"/>
        </w:rPr>
        <w:t xml:space="preserve">: se aprueban los Convenios Marco de Cooperación Técnica con la Universidad </w:t>
      </w:r>
      <w:r w:rsidR="00691893">
        <w:rPr>
          <w:sz w:val="24"/>
          <w:szCs w:val="24"/>
        </w:rPr>
        <w:lastRenderedPageBreak/>
        <w:t>Latinoamericana de Ciencia y Tecnología (ULACIT) y el Instituto Tecnológico de Costa Rica (TEC). 7 votos a favor. Por unanimidad de los presentes. ----------------------------------------------------------------------</w:t>
      </w:r>
      <w:r w:rsidR="00F329DF" w:rsidRPr="00F960CD">
        <w:rPr>
          <w:b/>
          <w:sz w:val="24"/>
          <w:szCs w:val="24"/>
        </w:rPr>
        <w:t>CAPÍTULO VI</w:t>
      </w:r>
      <w:r w:rsidR="00F329DF" w:rsidRPr="00F960CD">
        <w:rPr>
          <w:sz w:val="24"/>
          <w:szCs w:val="24"/>
        </w:rPr>
        <w:t>. Informes de las Comisiones</w:t>
      </w:r>
      <w:r w:rsidR="00691893">
        <w:rPr>
          <w:sz w:val="24"/>
          <w:szCs w:val="24"/>
        </w:rPr>
        <w:t>. ------------------------------------------------------------------------</w:t>
      </w:r>
      <w:r w:rsidR="00F329DF" w:rsidRPr="00F960CD">
        <w:rPr>
          <w:sz w:val="24"/>
          <w:szCs w:val="24"/>
        </w:rPr>
        <w:t>No hay</w:t>
      </w:r>
      <w:r w:rsidR="00691893">
        <w:rPr>
          <w:sz w:val="24"/>
          <w:szCs w:val="24"/>
        </w:rPr>
        <w:t>. ----------------------------------------------------------------------------------------------------------------------</w:t>
      </w:r>
      <w:r w:rsidR="00F329DF" w:rsidRPr="00F960CD">
        <w:rPr>
          <w:b/>
          <w:sz w:val="24"/>
          <w:szCs w:val="24"/>
        </w:rPr>
        <w:t>CAPÍTULO VII</w:t>
      </w:r>
      <w:r w:rsidR="00F329DF" w:rsidRPr="00F960CD">
        <w:rPr>
          <w:sz w:val="24"/>
          <w:szCs w:val="24"/>
        </w:rPr>
        <w:t>. Asuntos Financieros</w:t>
      </w:r>
      <w:r w:rsidR="00691893">
        <w:rPr>
          <w:sz w:val="24"/>
          <w:szCs w:val="24"/>
        </w:rPr>
        <w:t>. -------------------------------------------------------------------------------</w:t>
      </w:r>
      <w:r w:rsidR="00F329DF" w:rsidRPr="00F960CD">
        <w:rPr>
          <w:sz w:val="24"/>
          <w:szCs w:val="24"/>
        </w:rPr>
        <w:t>No hay</w:t>
      </w:r>
      <w:r w:rsidR="00691893">
        <w:rPr>
          <w:sz w:val="24"/>
          <w:szCs w:val="24"/>
        </w:rPr>
        <w:t>. ----------------------------------------------------------------------------------------------------------------------</w:t>
      </w:r>
      <w:r w:rsidR="00F329DF" w:rsidRPr="00F960CD">
        <w:rPr>
          <w:b/>
          <w:sz w:val="24"/>
          <w:szCs w:val="24"/>
        </w:rPr>
        <w:t xml:space="preserve">CAPÍTULO VIII. </w:t>
      </w:r>
      <w:r w:rsidR="00F329DF" w:rsidRPr="00F960CD">
        <w:rPr>
          <w:sz w:val="24"/>
          <w:szCs w:val="24"/>
        </w:rPr>
        <w:t>Mociones y sugerencias</w:t>
      </w:r>
      <w:r w:rsidR="00691893">
        <w:rPr>
          <w:sz w:val="24"/>
          <w:szCs w:val="24"/>
        </w:rPr>
        <w:t>. --------------------------------------------------------------------------No hay. ----------------------------------------------------------------------------------------------------------------------</w:t>
      </w:r>
      <w:r w:rsidR="00F329DF" w:rsidRPr="00F960CD">
        <w:rPr>
          <w:b/>
          <w:sz w:val="24"/>
          <w:szCs w:val="24"/>
        </w:rPr>
        <w:t xml:space="preserve">CAPÍTULO IX. </w:t>
      </w:r>
      <w:r w:rsidR="00F329DF" w:rsidRPr="00F960CD">
        <w:rPr>
          <w:sz w:val="24"/>
          <w:szCs w:val="24"/>
        </w:rPr>
        <w:t>Asuntos varios</w:t>
      </w:r>
      <w:r w:rsidR="00691893">
        <w:rPr>
          <w:sz w:val="24"/>
          <w:szCs w:val="24"/>
        </w:rPr>
        <w:t>. ---------------------------------------------------------------------------------------</w:t>
      </w:r>
      <w:r w:rsidR="00F329DF" w:rsidRPr="00F960CD">
        <w:rPr>
          <w:b/>
          <w:sz w:val="24"/>
          <w:szCs w:val="24"/>
        </w:rPr>
        <w:t>ARTÍCULO</w:t>
      </w:r>
      <w:r w:rsidR="00691893">
        <w:rPr>
          <w:b/>
          <w:sz w:val="24"/>
          <w:szCs w:val="24"/>
        </w:rPr>
        <w:t xml:space="preserve"> 5</w:t>
      </w:r>
      <w:r w:rsidR="00F329DF" w:rsidRPr="00F960CD">
        <w:rPr>
          <w:sz w:val="24"/>
          <w:szCs w:val="24"/>
        </w:rPr>
        <w:t>: Reprogramación de sesión extraordinaria</w:t>
      </w:r>
      <w:r w:rsidR="00691893">
        <w:rPr>
          <w:sz w:val="24"/>
          <w:szCs w:val="24"/>
        </w:rPr>
        <w:t>. ---------------------------------------------------------La Dirección Ejecutiva solicita reprogramar sesión que se canceló el 21 de abril del 2022 con el propósito de conocer como punto único las Guías de Construcción. -----------------------------------------------------------</w:t>
      </w:r>
      <w:r w:rsidR="00691893" w:rsidRPr="00D221A9">
        <w:rPr>
          <w:b/>
          <w:sz w:val="24"/>
          <w:szCs w:val="24"/>
        </w:rPr>
        <w:t>ACUERDO N° 005-2022</w:t>
      </w:r>
      <w:r w:rsidR="00691893">
        <w:rPr>
          <w:sz w:val="24"/>
          <w:szCs w:val="24"/>
        </w:rPr>
        <w:t>: se acuerda reprogramar sesión del 21 de abril del 2022 para realizarse el día jueves 5 de mayo del 2022 para conocer como punto único las Guías de Construcción. 7 votos a favor. Por unanimidad de los presentes. ---------------------------------------------------------------------------------------------</w:t>
      </w:r>
    </w:p>
    <w:p w:rsidR="009D1585" w:rsidRPr="00F960CD" w:rsidRDefault="00F64299" w:rsidP="00F945FB">
      <w:pPr>
        <w:spacing w:line="360" w:lineRule="auto"/>
        <w:jc w:val="both"/>
        <w:rPr>
          <w:sz w:val="24"/>
          <w:szCs w:val="24"/>
        </w:rPr>
      </w:pPr>
      <w:r w:rsidRPr="00F960CD">
        <w:rPr>
          <w:sz w:val="24"/>
          <w:szCs w:val="24"/>
        </w:rPr>
        <w:t xml:space="preserve">Al ser las </w:t>
      </w:r>
      <w:r w:rsidR="00D221A9">
        <w:rPr>
          <w:sz w:val="24"/>
          <w:szCs w:val="24"/>
        </w:rPr>
        <w:t>dieciocho horas</w:t>
      </w:r>
      <w:r w:rsidRPr="00F960CD">
        <w:rPr>
          <w:sz w:val="24"/>
          <w:szCs w:val="24"/>
        </w:rPr>
        <w:t xml:space="preserve"> y sin más asuntos por conocer se levanta la sesión. -------</w:t>
      </w:r>
      <w:r w:rsidR="00D221A9">
        <w:rPr>
          <w:sz w:val="24"/>
          <w:szCs w:val="24"/>
        </w:rPr>
        <w:t>------------------</w:t>
      </w:r>
      <w:r w:rsidRPr="00F960CD">
        <w:rPr>
          <w:sz w:val="24"/>
          <w:szCs w:val="24"/>
        </w:rPr>
        <w:t>----------</w:t>
      </w:r>
    </w:p>
    <w:p w:rsidR="009D1585" w:rsidRPr="00F960CD" w:rsidRDefault="009D1585" w:rsidP="00F945FB">
      <w:pPr>
        <w:tabs>
          <w:tab w:val="num" w:pos="720"/>
          <w:tab w:val="num" w:pos="1440"/>
        </w:tabs>
        <w:spacing w:line="360" w:lineRule="auto"/>
        <w:jc w:val="both"/>
        <w:rPr>
          <w:sz w:val="24"/>
          <w:szCs w:val="24"/>
        </w:rPr>
      </w:pPr>
    </w:p>
    <w:p w:rsidR="0027078C" w:rsidRPr="00F960CD" w:rsidRDefault="0027078C" w:rsidP="00F945FB">
      <w:pPr>
        <w:spacing w:line="360" w:lineRule="auto"/>
        <w:jc w:val="both"/>
        <w:rPr>
          <w:sz w:val="24"/>
          <w:szCs w:val="24"/>
        </w:rPr>
      </w:pPr>
    </w:p>
    <w:sectPr w:rsidR="0027078C" w:rsidRPr="00F960CD">
      <w:headerReference w:type="default" r:id="rId8"/>
      <w:footerReference w:type="default" r:id="rId9"/>
      <w:pgSz w:w="12240" w:h="15840"/>
      <w:pgMar w:top="400" w:right="1000" w:bottom="400" w:left="10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89" w:rsidRDefault="00713589">
      <w:r>
        <w:separator/>
      </w:r>
    </w:p>
  </w:endnote>
  <w:endnote w:type="continuationSeparator" w:id="0">
    <w:p w:rsidR="00713589" w:rsidRDefault="0071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16" w:rsidRDefault="00273816">
    <w:pPr>
      <w:pBdr>
        <w:top w:val="thickThinMediumGap" w:sz="4" w:space="0" w:color="A9A9A9"/>
      </w:pBdr>
      <w:jc w:val="center"/>
    </w:pPr>
  </w:p>
  <w:p w:rsidR="00273816" w:rsidRDefault="00273816"/>
  <w:p w:rsidR="00273816" w:rsidRDefault="0026763F">
    <w:pPr>
      <w:jc w:val="right"/>
    </w:pPr>
    <w:r>
      <w:fldChar w:fldCharType="begin"/>
    </w:r>
    <w:r>
      <w:instrText>PAGE "page number"</w:instrText>
    </w:r>
    <w:r>
      <w:fldChar w:fldCharType="separate"/>
    </w:r>
    <w:r w:rsidR="00677D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89" w:rsidRDefault="00713589">
      <w:r>
        <w:separator/>
      </w:r>
    </w:p>
  </w:footnote>
  <w:footnote w:type="continuationSeparator" w:id="0">
    <w:p w:rsidR="00713589" w:rsidRDefault="0071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00" w:type="pct"/>
      <w:tblLook w:val="04A0" w:firstRow="1" w:lastRow="0" w:firstColumn="1" w:lastColumn="0" w:noHBand="0" w:noVBand="1"/>
    </w:tblPr>
    <w:tblGrid>
      <w:gridCol w:w="4716"/>
      <w:gridCol w:w="3476"/>
    </w:tblGrid>
    <w:tr w:rsidR="00273816">
      <w:trPr>
        <w:trHeight w:val="400"/>
      </w:trPr>
      <w:tc>
        <w:tcPr>
          <w:tcW w:w="1250" w:type="pct"/>
          <w:vAlign w:val="center"/>
        </w:tcPr>
        <w:p w:rsidR="00273816" w:rsidRDefault="0026763F">
          <w:pPr>
            <w:jc w:val="center"/>
          </w:pPr>
          <w:r>
            <w:rPr>
              <w:noProof/>
              <w:lang w:val="es-CR"/>
            </w:rPr>
            <w:drawing>
              <wp:anchor distT="0" distB="0" distL="114300" distR="114300" simplePos="0" relativeHeight="251658240" behindDoc="0" locked="0" layoutInCell="1" allowOverlap="1">
                <wp:simplePos x="0" y="0"/>
                <wp:positionH relativeFrom="column">
                  <wp:align>center</wp:align>
                </wp:positionH>
                <wp:positionV relativeFrom="paragraph">
                  <wp:align>center</wp:align>
                </wp:positionV>
                <wp:extent cx="2857500"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857500" cy="1428750"/>
                        </a:xfrm>
                        <a:prstGeom prst="rect">
                          <a:avLst/>
                        </a:prstGeom>
                      </pic:spPr>
                    </pic:pic>
                  </a:graphicData>
                </a:graphic>
              </wp:anchor>
            </w:drawing>
          </w:r>
        </w:p>
      </w:tc>
      <w:tc>
        <w:tcPr>
          <w:tcW w:w="3750" w:type="pct"/>
          <w:vAlign w:val="center"/>
        </w:tcPr>
        <w:p w:rsidR="00273816" w:rsidRDefault="00273816"/>
      </w:tc>
    </w:tr>
  </w:tbl>
  <w:p w:rsidR="00273816" w:rsidRDefault="002738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91F"/>
    <w:multiLevelType w:val="multilevel"/>
    <w:tmpl w:val="A5BED6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FA00D1C"/>
    <w:multiLevelType w:val="multilevel"/>
    <w:tmpl w:val="148828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37C11854"/>
    <w:multiLevelType w:val="multilevel"/>
    <w:tmpl w:val="00121CC4"/>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3" w15:restartNumberingAfterBreak="0">
    <w:nsid w:val="5C7F3D67"/>
    <w:multiLevelType w:val="hybridMultilevel"/>
    <w:tmpl w:val="9F0646E2"/>
    <w:lvl w:ilvl="0" w:tplc="E1168FFC">
      <w:start w:val="1"/>
      <w:numFmt w:val="decimal"/>
      <w:lvlText w:val="%1."/>
      <w:lvlJc w:val="left"/>
      <w:pPr>
        <w:tabs>
          <w:tab w:val="num" w:pos="720"/>
        </w:tabs>
        <w:ind w:left="720" w:hanging="360"/>
      </w:pPr>
    </w:lvl>
    <w:lvl w:ilvl="1" w:tplc="49186CFC">
      <w:start w:val="1"/>
      <w:numFmt w:val="decimal"/>
      <w:lvlText w:val="%2."/>
      <w:lvlJc w:val="left"/>
      <w:pPr>
        <w:tabs>
          <w:tab w:val="num" w:pos="1440"/>
        </w:tabs>
        <w:ind w:left="1440" w:hanging="360"/>
      </w:pPr>
    </w:lvl>
    <w:lvl w:ilvl="2" w:tplc="633A2D50" w:tentative="1">
      <w:start w:val="1"/>
      <w:numFmt w:val="decimal"/>
      <w:lvlText w:val="%3."/>
      <w:lvlJc w:val="left"/>
      <w:pPr>
        <w:tabs>
          <w:tab w:val="num" w:pos="2160"/>
        </w:tabs>
        <w:ind w:left="2160" w:hanging="360"/>
      </w:pPr>
    </w:lvl>
    <w:lvl w:ilvl="3" w:tplc="A8FEAEC8" w:tentative="1">
      <w:start w:val="1"/>
      <w:numFmt w:val="decimal"/>
      <w:lvlText w:val="%4."/>
      <w:lvlJc w:val="left"/>
      <w:pPr>
        <w:tabs>
          <w:tab w:val="num" w:pos="2880"/>
        </w:tabs>
        <w:ind w:left="2880" w:hanging="360"/>
      </w:pPr>
    </w:lvl>
    <w:lvl w:ilvl="4" w:tplc="C64A8896" w:tentative="1">
      <w:start w:val="1"/>
      <w:numFmt w:val="decimal"/>
      <w:lvlText w:val="%5."/>
      <w:lvlJc w:val="left"/>
      <w:pPr>
        <w:tabs>
          <w:tab w:val="num" w:pos="3600"/>
        </w:tabs>
        <w:ind w:left="3600" w:hanging="360"/>
      </w:pPr>
    </w:lvl>
    <w:lvl w:ilvl="5" w:tplc="68805CD6" w:tentative="1">
      <w:start w:val="1"/>
      <w:numFmt w:val="decimal"/>
      <w:lvlText w:val="%6."/>
      <w:lvlJc w:val="left"/>
      <w:pPr>
        <w:tabs>
          <w:tab w:val="num" w:pos="4320"/>
        </w:tabs>
        <w:ind w:left="4320" w:hanging="360"/>
      </w:pPr>
    </w:lvl>
    <w:lvl w:ilvl="6" w:tplc="1764D690" w:tentative="1">
      <w:start w:val="1"/>
      <w:numFmt w:val="decimal"/>
      <w:lvlText w:val="%7."/>
      <w:lvlJc w:val="left"/>
      <w:pPr>
        <w:tabs>
          <w:tab w:val="num" w:pos="5040"/>
        </w:tabs>
        <w:ind w:left="5040" w:hanging="360"/>
      </w:pPr>
    </w:lvl>
    <w:lvl w:ilvl="7" w:tplc="EED89BAA" w:tentative="1">
      <w:start w:val="1"/>
      <w:numFmt w:val="decimal"/>
      <w:lvlText w:val="%8."/>
      <w:lvlJc w:val="left"/>
      <w:pPr>
        <w:tabs>
          <w:tab w:val="num" w:pos="5760"/>
        </w:tabs>
        <w:ind w:left="5760" w:hanging="360"/>
      </w:pPr>
    </w:lvl>
    <w:lvl w:ilvl="8" w:tplc="77A69B1E" w:tentative="1">
      <w:start w:val="1"/>
      <w:numFmt w:val="decimal"/>
      <w:lvlText w:val="%9."/>
      <w:lvlJc w:val="left"/>
      <w:pPr>
        <w:tabs>
          <w:tab w:val="num" w:pos="6480"/>
        </w:tabs>
        <w:ind w:left="6480" w:hanging="360"/>
      </w:pPr>
    </w:lvl>
  </w:abstractNum>
  <w:abstractNum w:abstractNumId="4" w15:restartNumberingAfterBreak="0">
    <w:nsid w:val="68EB6012"/>
    <w:multiLevelType w:val="hybridMultilevel"/>
    <w:tmpl w:val="E15650F6"/>
    <w:lvl w:ilvl="0" w:tplc="7E982854">
      <w:start w:val="1"/>
      <w:numFmt w:val="decimal"/>
      <w:lvlText w:val="%1."/>
      <w:lvlJc w:val="left"/>
      <w:pPr>
        <w:tabs>
          <w:tab w:val="num" w:pos="720"/>
        </w:tabs>
        <w:ind w:left="720" w:hanging="360"/>
      </w:pPr>
    </w:lvl>
    <w:lvl w:ilvl="1" w:tplc="A790AD4C" w:tentative="1">
      <w:start w:val="1"/>
      <w:numFmt w:val="decimal"/>
      <w:lvlText w:val="%2."/>
      <w:lvlJc w:val="left"/>
      <w:pPr>
        <w:tabs>
          <w:tab w:val="num" w:pos="1440"/>
        </w:tabs>
        <w:ind w:left="1440" w:hanging="360"/>
      </w:pPr>
    </w:lvl>
    <w:lvl w:ilvl="2" w:tplc="BC9E7E92" w:tentative="1">
      <w:start w:val="1"/>
      <w:numFmt w:val="decimal"/>
      <w:lvlText w:val="%3."/>
      <w:lvlJc w:val="left"/>
      <w:pPr>
        <w:tabs>
          <w:tab w:val="num" w:pos="2160"/>
        </w:tabs>
        <w:ind w:left="2160" w:hanging="360"/>
      </w:pPr>
    </w:lvl>
    <w:lvl w:ilvl="3" w:tplc="36C6B3A6" w:tentative="1">
      <w:start w:val="1"/>
      <w:numFmt w:val="decimal"/>
      <w:lvlText w:val="%4."/>
      <w:lvlJc w:val="left"/>
      <w:pPr>
        <w:tabs>
          <w:tab w:val="num" w:pos="2880"/>
        </w:tabs>
        <w:ind w:left="2880" w:hanging="360"/>
      </w:pPr>
    </w:lvl>
    <w:lvl w:ilvl="4" w:tplc="725C9D5C" w:tentative="1">
      <w:start w:val="1"/>
      <w:numFmt w:val="decimal"/>
      <w:lvlText w:val="%5."/>
      <w:lvlJc w:val="left"/>
      <w:pPr>
        <w:tabs>
          <w:tab w:val="num" w:pos="3600"/>
        </w:tabs>
        <w:ind w:left="3600" w:hanging="360"/>
      </w:pPr>
    </w:lvl>
    <w:lvl w:ilvl="5" w:tplc="400A300A" w:tentative="1">
      <w:start w:val="1"/>
      <w:numFmt w:val="decimal"/>
      <w:lvlText w:val="%6."/>
      <w:lvlJc w:val="left"/>
      <w:pPr>
        <w:tabs>
          <w:tab w:val="num" w:pos="4320"/>
        </w:tabs>
        <w:ind w:left="4320" w:hanging="360"/>
      </w:pPr>
    </w:lvl>
    <w:lvl w:ilvl="6" w:tplc="69207C8E" w:tentative="1">
      <w:start w:val="1"/>
      <w:numFmt w:val="decimal"/>
      <w:lvlText w:val="%7."/>
      <w:lvlJc w:val="left"/>
      <w:pPr>
        <w:tabs>
          <w:tab w:val="num" w:pos="5040"/>
        </w:tabs>
        <w:ind w:left="5040" w:hanging="360"/>
      </w:pPr>
    </w:lvl>
    <w:lvl w:ilvl="7" w:tplc="AFC6B5F8" w:tentative="1">
      <w:start w:val="1"/>
      <w:numFmt w:val="decimal"/>
      <w:lvlText w:val="%8."/>
      <w:lvlJc w:val="left"/>
      <w:pPr>
        <w:tabs>
          <w:tab w:val="num" w:pos="5760"/>
        </w:tabs>
        <w:ind w:left="5760" w:hanging="360"/>
      </w:pPr>
    </w:lvl>
    <w:lvl w:ilvl="8" w:tplc="6824BCD6"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2aGxSOTnSyM04KvahazlYyVeFzU=" w:salt="dgF++OCdMLiWvK59Ef6ZMg=="/>
  <w:defaultTabStop w:val="720"/>
  <w:hyphenationZone w:val="425"/>
  <w:doNotHyphenateCaps/>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16"/>
    <w:rsid w:val="0005690B"/>
    <w:rsid w:val="00104C0F"/>
    <w:rsid w:val="00155D1B"/>
    <w:rsid w:val="001A0749"/>
    <w:rsid w:val="001D38E0"/>
    <w:rsid w:val="0026763F"/>
    <w:rsid w:val="0027078C"/>
    <w:rsid w:val="00273816"/>
    <w:rsid w:val="003D23F9"/>
    <w:rsid w:val="004469B4"/>
    <w:rsid w:val="00523F67"/>
    <w:rsid w:val="00662521"/>
    <w:rsid w:val="00677DD9"/>
    <w:rsid w:val="00684364"/>
    <w:rsid w:val="00691893"/>
    <w:rsid w:val="00713589"/>
    <w:rsid w:val="007D3D73"/>
    <w:rsid w:val="00812F15"/>
    <w:rsid w:val="00947296"/>
    <w:rsid w:val="00970C64"/>
    <w:rsid w:val="009D1585"/>
    <w:rsid w:val="00A3609D"/>
    <w:rsid w:val="00B03F63"/>
    <w:rsid w:val="00B43B7C"/>
    <w:rsid w:val="00BC00B6"/>
    <w:rsid w:val="00BF5C9D"/>
    <w:rsid w:val="00CA7291"/>
    <w:rsid w:val="00CB6334"/>
    <w:rsid w:val="00D200D7"/>
    <w:rsid w:val="00D221A9"/>
    <w:rsid w:val="00D65C69"/>
    <w:rsid w:val="00EC2278"/>
    <w:rsid w:val="00F329DF"/>
    <w:rsid w:val="00F64299"/>
    <w:rsid w:val="00F847C2"/>
    <w:rsid w:val="00F945FB"/>
    <w:rsid w:val="00F960C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A1532-CCED-4934-8E23-5A40F1E2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paragraph" w:styleId="Ttulo1">
    <w:name w:val="heading 1"/>
    <w:basedOn w:val="Normal"/>
    <w:link w:val="Ttulo1Car"/>
    <w:uiPriority w:val="9"/>
    <w:qFormat/>
    <w:rsid w:val="00691893"/>
    <w:pPr>
      <w:spacing w:before="100" w:beforeAutospacing="1" w:after="100" w:afterAutospacing="1"/>
      <w:outlineLvl w:val="0"/>
    </w:pPr>
    <w:rPr>
      <w:b/>
      <w:bCs/>
      <w:kern w:val="36"/>
      <w:sz w:val="48"/>
      <w:szCs w:val="4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PiePag">
    <w:name w:val="FontStylePiePag"/>
    <w:basedOn w:val="Normal"/>
    <w:rPr>
      <w:rFonts w:ascii="Arial" w:eastAsia="Arial" w:hAnsi="Arial" w:cs="Arial"/>
      <w:sz w:val="18"/>
    </w:rPr>
  </w:style>
  <w:style w:type="character" w:customStyle="1" w:styleId="il">
    <w:name w:val="il"/>
    <w:basedOn w:val="Fuentedeprrafopredeter"/>
    <w:rsid w:val="00F64299"/>
  </w:style>
  <w:style w:type="paragraph" w:styleId="NormalWeb">
    <w:name w:val="Normal (Web)"/>
    <w:basedOn w:val="Normal"/>
    <w:uiPriority w:val="99"/>
    <w:semiHidden/>
    <w:unhideWhenUsed/>
    <w:rsid w:val="00F64299"/>
    <w:pPr>
      <w:spacing w:before="100" w:beforeAutospacing="1" w:after="100" w:afterAutospacing="1"/>
    </w:pPr>
    <w:rPr>
      <w:sz w:val="24"/>
      <w:szCs w:val="24"/>
      <w:lang w:val="es-CR"/>
    </w:rPr>
  </w:style>
  <w:style w:type="character" w:styleId="Hipervnculo">
    <w:name w:val="Hyperlink"/>
    <w:basedOn w:val="Fuentedeprrafopredeter"/>
    <w:uiPriority w:val="99"/>
    <w:unhideWhenUsed/>
    <w:rsid w:val="00691893"/>
    <w:rPr>
      <w:color w:val="0563C1" w:themeColor="hyperlink"/>
      <w:u w:val="single"/>
    </w:rPr>
  </w:style>
  <w:style w:type="character" w:customStyle="1" w:styleId="Ttulo1Car">
    <w:name w:val="Título 1 Car"/>
    <w:basedOn w:val="Fuentedeprrafopredeter"/>
    <w:link w:val="Ttulo1"/>
    <w:uiPriority w:val="9"/>
    <w:rsid w:val="0069189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6650">
      <w:bodyDiv w:val="1"/>
      <w:marLeft w:val="0"/>
      <w:marRight w:val="0"/>
      <w:marTop w:val="0"/>
      <w:marBottom w:val="0"/>
      <w:divBdr>
        <w:top w:val="none" w:sz="0" w:space="0" w:color="auto"/>
        <w:left w:val="none" w:sz="0" w:space="0" w:color="auto"/>
        <w:bottom w:val="none" w:sz="0" w:space="0" w:color="auto"/>
        <w:right w:val="none" w:sz="0" w:space="0" w:color="auto"/>
      </w:divBdr>
    </w:div>
    <w:div w:id="263344657">
      <w:bodyDiv w:val="1"/>
      <w:marLeft w:val="0"/>
      <w:marRight w:val="0"/>
      <w:marTop w:val="0"/>
      <w:marBottom w:val="0"/>
      <w:divBdr>
        <w:top w:val="none" w:sz="0" w:space="0" w:color="auto"/>
        <w:left w:val="none" w:sz="0" w:space="0" w:color="auto"/>
        <w:bottom w:val="none" w:sz="0" w:space="0" w:color="auto"/>
        <w:right w:val="none" w:sz="0" w:space="0" w:color="auto"/>
      </w:divBdr>
    </w:div>
    <w:div w:id="390470470">
      <w:bodyDiv w:val="1"/>
      <w:marLeft w:val="0"/>
      <w:marRight w:val="0"/>
      <w:marTop w:val="0"/>
      <w:marBottom w:val="0"/>
      <w:divBdr>
        <w:top w:val="none" w:sz="0" w:space="0" w:color="auto"/>
        <w:left w:val="none" w:sz="0" w:space="0" w:color="auto"/>
        <w:bottom w:val="none" w:sz="0" w:space="0" w:color="auto"/>
        <w:right w:val="none" w:sz="0" w:space="0" w:color="auto"/>
      </w:divBdr>
    </w:div>
    <w:div w:id="447895498">
      <w:bodyDiv w:val="1"/>
      <w:marLeft w:val="0"/>
      <w:marRight w:val="0"/>
      <w:marTop w:val="0"/>
      <w:marBottom w:val="0"/>
      <w:divBdr>
        <w:top w:val="none" w:sz="0" w:space="0" w:color="auto"/>
        <w:left w:val="none" w:sz="0" w:space="0" w:color="auto"/>
        <w:bottom w:val="none" w:sz="0" w:space="0" w:color="auto"/>
        <w:right w:val="none" w:sz="0" w:space="0" w:color="auto"/>
      </w:divBdr>
    </w:div>
    <w:div w:id="475152061">
      <w:bodyDiv w:val="1"/>
      <w:marLeft w:val="0"/>
      <w:marRight w:val="0"/>
      <w:marTop w:val="0"/>
      <w:marBottom w:val="0"/>
      <w:divBdr>
        <w:top w:val="none" w:sz="0" w:space="0" w:color="auto"/>
        <w:left w:val="none" w:sz="0" w:space="0" w:color="auto"/>
        <w:bottom w:val="none" w:sz="0" w:space="0" w:color="auto"/>
        <w:right w:val="none" w:sz="0" w:space="0" w:color="auto"/>
      </w:divBdr>
    </w:div>
    <w:div w:id="587617186">
      <w:bodyDiv w:val="1"/>
      <w:marLeft w:val="0"/>
      <w:marRight w:val="0"/>
      <w:marTop w:val="0"/>
      <w:marBottom w:val="0"/>
      <w:divBdr>
        <w:top w:val="none" w:sz="0" w:space="0" w:color="auto"/>
        <w:left w:val="none" w:sz="0" w:space="0" w:color="auto"/>
        <w:bottom w:val="none" w:sz="0" w:space="0" w:color="auto"/>
        <w:right w:val="none" w:sz="0" w:space="0" w:color="auto"/>
      </w:divBdr>
    </w:div>
    <w:div w:id="631251975">
      <w:bodyDiv w:val="1"/>
      <w:marLeft w:val="0"/>
      <w:marRight w:val="0"/>
      <w:marTop w:val="0"/>
      <w:marBottom w:val="0"/>
      <w:divBdr>
        <w:top w:val="none" w:sz="0" w:space="0" w:color="auto"/>
        <w:left w:val="none" w:sz="0" w:space="0" w:color="auto"/>
        <w:bottom w:val="none" w:sz="0" w:space="0" w:color="auto"/>
        <w:right w:val="none" w:sz="0" w:space="0" w:color="auto"/>
      </w:divBdr>
      <w:divsChild>
        <w:div w:id="378172018">
          <w:marLeft w:val="720"/>
          <w:marRight w:val="0"/>
          <w:marTop w:val="0"/>
          <w:marBottom w:val="0"/>
          <w:divBdr>
            <w:top w:val="none" w:sz="0" w:space="0" w:color="auto"/>
            <w:left w:val="none" w:sz="0" w:space="0" w:color="auto"/>
            <w:bottom w:val="none" w:sz="0" w:space="0" w:color="auto"/>
            <w:right w:val="none" w:sz="0" w:space="0" w:color="auto"/>
          </w:divBdr>
        </w:div>
        <w:div w:id="982075161">
          <w:marLeft w:val="720"/>
          <w:marRight w:val="0"/>
          <w:marTop w:val="0"/>
          <w:marBottom w:val="0"/>
          <w:divBdr>
            <w:top w:val="none" w:sz="0" w:space="0" w:color="auto"/>
            <w:left w:val="none" w:sz="0" w:space="0" w:color="auto"/>
            <w:bottom w:val="none" w:sz="0" w:space="0" w:color="auto"/>
            <w:right w:val="none" w:sz="0" w:space="0" w:color="auto"/>
          </w:divBdr>
        </w:div>
        <w:div w:id="1149706036">
          <w:marLeft w:val="720"/>
          <w:marRight w:val="0"/>
          <w:marTop w:val="0"/>
          <w:marBottom w:val="0"/>
          <w:divBdr>
            <w:top w:val="none" w:sz="0" w:space="0" w:color="auto"/>
            <w:left w:val="none" w:sz="0" w:space="0" w:color="auto"/>
            <w:bottom w:val="none" w:sz="0" w:space="0" w:color="auto"/>
            <w:right w:val="none" w:sz="0" w:space="0" w:color="auto"/>
          </w:divBdr>
        </w:div>
        <w:div w:id="1715693893">
          <w:marLeft w:val="720"/>
          <w:marRight w:val="0"/>
          <w:marTop w:val="0"/>
          <w:marBottom w:val="0"/>
          <w:divBdr>
            <w:top w:val="none" w:sz="0" w:space="0" w:color="auto"/>
            <w:left w:val="none" w:sz="0" w:space="0" w:color="auto"/>
            <w:bottom w:val="none" w:sz="0" w:space="0" w:color="auto"/>
            <w:right w:val="none" w:sz="0" w:space="0" w:color="auto"/>
          </w:divBdr>
        </w:div>
        <w:div w:id="1895432201">
          <w:marLeft w:val="720"/>
          <w:marRight w:val="0"/>
          <w:marTop w:val="0"/>
          <w:marBottom w:val="0"/>
          <w:divBdr>
            <w:top w:val="none" w:sz="0" w:space="0" w:color="auto"/>
            <w:left w:val="none" w:sz="0" w:space="0" w:color="auto"/>
            <w:bottom w:val="none" w:sz="0" w:space="0" w:color="auto"/>
            <w:right w:val="none" w:sz="0" w:space="0" w:color="auto"/>
          </w:divBdr>
        </w:div>
        <w:div w:id="2017998653">
          <w:marLeft w:val="720"/>
          <w:marRight w:val="0"/>
          <w:marTop w:val="0"/>
          <w:marBottom w:val="0"/>
          <w:divBdr>
            <w:top w:val="none" w:sz="0" w:space="0" w:color="auto"/>
            <w:left w:val="none" w:sz="0" w:space="0" w:color="auto"/>
            <w:bottom w:val="none" w:sz="0" w:space="0" w:color="auto"/>
            <w:right w:val="none" w:sz="0" w:space="0" w:color="auto"/>
          </w:divBdr>
        </w:div>
      </w:divsChild>
    </w:div>
    <w:div w:id="826359413">
      <w:bodyDiv w:val="1"/>
      <w:marLeft w:val="0"/>
      <w:marRight w:val="0"/>
      <w:marTop w:val="0"/>
      <w:marBottom w:val="0"/>
      <w:divBdr>
        <w:top w:val="none" w:sz="0" w:space="0" w:color="auto"/>
        <w:left w:val="none" w:sz="0" w:space="0" w:color="auto"/>
        <w:bottom w:val="none" w:sz="0" w:space="0" w:color="auto"/>
        <w:right w:val="none" w:sz="0" w:space="0" w:color="auto"/>
      </w:divBdr>
    </w:div>
    <w:div w:id="928074477">
      <w:bodyDiv w:val="1"/>
      <w:marLeft w:val="0"/>
      <w:marRight w:val="0"/>
      <w:marTop w:val="0"/>
      <w:marBottom w:val="0"/>
      <w:divBdr>
        <w:top w:val="none" w:sz="0" w:space="0" w:color="auto"/>
        <w:left w:val="none" w:sz="0" w:space="0" w:color="auto"/>
        <w:bottom w:val="none" w:sz="0" w:space="0" w:color="auto"/>
        <w:right w:val="none" w:sz="0" w:space="0" w:color="auto"/>
      </w:divBdr>
    </w:div>
    <w:div w:id="1395543223">
      <w:bodyDiv w:val="1"/>
      <w:marLeft w:val="0"/>
      <w:marRight w:val="0"/>
      <w:marTop w:val="0"/>
      <w:marBottom w:val="0"/>
      <w:divBdr>
        <w:top w:val="none" w:sz="0" w:space="0" w:color="auto"/>
        <w:left w:val="none" w:sz="0" w:space="0" w:color="auto"/>
        <w:bottom w:val="none" w:sz="0" w:space="0" w:color="auto"/>
        <w:right w:val="none" w:sz="0" w:space="0" w:color="auto"/>
      </w:divBdr>
      <w:divsChild>
        <w:div w:id="976372387">
          <w:marLeft w:val="547"/>
          <w:marRight w:val="0"/>
          <w:marTop w:val="0"/>
          <w:marBottom w:val="0"/>
          <w:divBdr>
            <w:top w:val="none" w:sz="0" w:space="0" w:color="auto"/>
            <w:left w:val="none" w:sz="0" w:space="0" w:color="auto"/>
            <w:bottom w:val="none" w:sz="0" w:space="0" w:color="auto"/>
            <w:right w:val="none" w:sz="0" w:space="0" w:color="auto"/>
          </w:divBdr>
        </w:div>
        <w:div w:id="1252272557">
          <w:marLeft w:val="547"/>
          <w:marRight w:val="0"/>
          <w:marTop w:val="0"/>
          <w:marBottom w:val="0"/>
          <w:divBdr>
            <w:top w:val="none" w:sz="0" w:space="0" w:color="auto"/>
            <w:left w:val="none" w:sz="0" w:space="0" w:color="auto"/>
            <w:bottom w:val="none" w:sz="0" w:space="0" w:color="auto"/>
            <w:right w:val="none" w:sz="0" w:space="0" w:color="auto"/>
          </w:divBdr>
        </w:div>
        <w:div w:id="1537232547">
          <w:marLeft w:val="547"/>
          <w:marRight w:val="0"/>
          <w:marTop w:val="0"/>
          <w:marBottom w:val="0"/>
          <w:divBdr>
            <w:top w:val="none" w:sz="0" w:space="0" w:color="auto"/>
            <w:left w:val="none" w:sz="0" w:space="0" w:color="auto"/>
            <w:bottom w:val="none" w:sz="0" w:space="0" w:color="auto"/>
            <w:right w:val="none" w:sz="0" w:space="0" w:color="auto"/>
          </w:divBdr>
        </w:div>
        <w:div w:id="650016895">
          <w:marLeft w:val="1267"/>
          <w:marRight w:val="0"/>
          <w:marTop w:val="0"/>
          <w:marBottom w:val="0"/>
          <w:divBdr>
            <w:top w:val="none" w:sz="0" w:space="0" w:color="auto"/>
            <w:left w:val="none" w:sz="0" w:space="0" w:color="auto"/>
            <w:bottom w:val="none" w:sz="0" w:space="0" w:color="auto"/>
            <w:right w:val="none" w:sz="0" w:space="0" w:color="auto"/>
          </w:divBdr>
        </w:div>
        <w:div w:id="1391467337">
          <w:marLeft w:val="1267"/>
          <w:marRight w:val="0"/>
          <w:marTop w:val="0"/>
          <w:marBottom w:val="0"/>
          <w:divBdr>
            <w:top w:val="none" w:sz="0" w:space="0" w:color="auto"/>
            <w:left w:val="none" w:sz="0" w:space="0" w:color="auto"/>
            <w:bottom w:val="none" w:sz="0" w:space="0" w:color="auto"/>
            <w:right w:val="none" w:sz="0" w:space="0" w:color="auto"/>
          </w:divBdr>
        </w:div>
        <w:div w:id="690761899">
          <w:marLeft w:val="1267"/>
          <w:marRight w:val="0"/>
          <w:marTop w:val="0"/>
          <w:marBottom w:val="0"/>
          <w:divBdr>
            <w:top w:val="none" w:sz="0" w:space="0" w:color="auto"/>
            <w:left w:val="none" w:sz="0" w:space="0" w:color="auto"/>
            <w:bottom w:val="none" w:sz="0" w:space="0" w:color="auto"/>
            <w:right w:val="none" w:sz="0" w:space="0" w:color="auto"/>
          </w:divBdr>
        </w:div>
        <w:div w:id="132912791">
          <w:marLeft w:val="1267"/>
          <w:marRight w:val="0"/>
          <w:marTop w:val="0"/>
          <w:marBottom w:val="0"/>
          <w:divBdr>
            <w:top w:val="none" w:sz="0" w:space="0" w:color="auto"/>
            <w:left w:val="none" w:sz="0" w:space="0" w:color="auto"/>
            <w:bottom w:val="none" w:sz="0" w:space="0" w:color="auto"/>
            <w:right w:val="none" w:sz="0" w:space="0" w:color="auto"/>
          </w:divBdr>
        </w:div>
        <w:div w:id="647784357">
          <w:marLeft w:val="1267"/>
          <w:marRight w:val="0"/>
          <w:marTop w:val="0"/>
          <w:marBottom w:val="0"/>
          <w:divBdr>
            <w:top w:val="none" w:sz="0" w:space="0" w:color="auto"/>
            <w:left w:val="none" w:sz="0" w:space="0" w:color="auto"/>
            <w:bottom w:val="none" w:sz="0" w:space="0" w:color="auto"/>
            <w:right w:val="none" w:sz="0" w:space="0" w:color="auto"/>
          </w:divBdr>
        </w:div>
        <w:div w:id="1163743410">
          <w:marLeft w:val="1267"/>
          <w:marRight w:val="0"/>
          <w:marTop w:val="0"/>
          <w:marBottom w:val="0"/>
          <w:divBdr>
            <w:top w:val="none" w:sz="0" w:space="0" w:color="auto"/>
            <w:left w:val="none" w:sz="0" w:space="0" w:color="auto"/>
            <w:bottom w:val="none" w:sz="0" w:space="0" w:color="auto"/>
            <w:right w:val="none" w:sz="0" w:space="0" w:color="auto"/>
          </w:divBdr>
        </w:div>
        <w:div w:id="302085073">
          <w:marLeft w:val="1267"/>
          <w:marRight w:val="0"/>
          <w:marTop w:val="0"/>
          <w:marBottom w:val="0"/>
          <w:divBdr>
            <w:top w:val="none" w:sz="0" w:space="0" w:color="auto"/>
            <w:left w:val="none" w:sz="0" w:space="0" w:color="auto"/>
            <w:bottom w:val="none" w:sz="0" w:space="0" w:color="auto"/>
            <w:right w:val="none" w:sz="0" w:space="0" w:color="auto"/>
          </w:divBdr>
        </w:div>
      </w:divsChild>
    </w:div>
    <w:div w:id="1507549144">
      <w:bodyDiv w:val="1"/>
      <w:marLeft w:val="0"/>
      <w:marRight w:val="0"/>
      <w:marTop w:val="0"/>
      <w:marBottom w:val="0"/>
      <w:divBdr>
        <w:top w:val="none" w:sz="0" w:space="0" w:color="auto"/>
        <w:left w:val="none" w:sz="0" w:space="0" w:color="auto"/>
        <w:bottom w:val="none" w:sz="0" w:space="0" w:color="auto"/>
        <w:right w:val="none" w:sz="0" w:space="0" w:color="auto"/>
      </w:divBdr>
    </w:div>
    <w:div w:id="1569611027">
      <w:bodyDiv w:val="1"/>
      <w:marLeft w:val="0"/>
      <w:marRight w:val="0"/>
      <w:marTop w:val="0"/>
      <w:marBottom w:val="0"/>
      <w:divBdr>
        <w:top w:val="none" w:sz="0" w:space="0" w:color="auto"/>
        <w:left w:val="none" w:sz="0" w:space="0" w:color="auto"/>
        <w:bottom w:val="none" w:sz="0" w:space="0" w:color="auto"/>
        <w:right w:val="none" w:sz="0" w:space="0" w:color="auto"/>
      </w:divBdr>
    </w:div>
    <w:div w:id="1726442806">
      <w:bodyDiv w:val="1"/>
      <w:marLeft w:val="0"/>
      <w:marRight w:val="0"/>
      <w:marTop w:val="0"/>
      <w:marBottom w:val="0"/>
      <w:divBdr>
        <w:top w:val="none" w:sz="0" w:space="0" w:color="auto"/>
        <w:left w:val="none" w:sz="0" w:space="0" w:color="auto"/>
        <w:bottom w:val="none" w:sz="0" w:space="0" w:color="auto"/>
        <w:right w:val="none" w:sz="0" w:space="0" w:color="auto"/>
      </w:divBdr>
      <w:divsChild>
        <w:div w:id="807358264">
          <w:marLeft w:val="720"/>
          <w:marRight w:val="0"/>
          <w:marTop w:val="0"/>
          <w:marBottom w:val="0"/>
          <w:divBdr>
            <w:top w:val="none" w:sz="0" w:space="0" w:color="auto"/>
            <w:left w:val="none" w:sz="0" w:space="0" w:color="auto"/>
            <w:bottom w:val="none" w:sz="0" w:space="0" w:color="auto"/>
            <w:right w:val="none" w:sz="0" w:space="0" w:color="auto"/>
          </w:divBdr>
        </w:div>
        <w:div w:id="2140684859">
          <w:marLeft w:val="720"/>
          <w:marRight w:val="0"/>
          <w:marTop w:val="0"/>
          <w:marBottom w:val="0"/>
          <w:divBdr>
            <w:top w:val="none" w:sz="0" w:space="0" w:color="auto"/>
            <w:left w:val="none" w:sz="0" w:space="0" w:color="auto"/>
            <w:bottom w:val="none" w:sz="0" w:space="0" w:color="auto"/>
            <w:right w:val="none" w:sz="0" w:space="0" w:color="auto"/>
          </w:divBdr>
        </w:div>
        <w:div w:id="1591965099">
          <w:marLeft w:val="720"/>
          <w:marRight w:val="0"/>
          <w:marTop w:val="0"/>
          <w:marBottom w:val="0"/>
          <w:divBdr>
            <w:top w:val="none" w:sz="0" w:space="0" w:color="auto"/>
            <w:left w:val="none" w:sz="0" w:space="0" w:color="auto"/>
            <w:bottom w:val="none" w:sz="0" w:space="0" w:color="auto"/>
            <w:right w:val="none" w:sz="0" w:space="0" w:color="auto"/>
          </w:divBdr>
        </w:div>
        <w:div w:id="1999334816">
          <w:marLeft w:val="720"/>
          <w:marRight w:val="0"/>
          <w:marTop w:val="0"/>
          <w:marBottom w:val="0"/>
          <w:divBdr>
            <w:top w:val="none" w:sz="0" w:space="0" w:color="auto"/>
            <w:left w:val="none" w:sz="0" w:space="0" w:color="auto"/>
            <w:bottom w:val="none" w:sz="0" w:space="0" w:color="auto"/>
            <w:right w:val="none" w:sz="0" w:space="0" w:color="auto"/>
          </w:divBdr>
        </w:div>
        <w:div w:id="1381130762">
          <w:marLeft w:val="720"/>
          <w:marRight w:val="0"/>
          <w:marTop w:val="0"/>
          <w:marBottom w:val="0"/>
          <w:divBdr>
            <w:top w:val="none" w:sz="0" w:space="0" w:color="auto"/>
            <w:left w:val="none" w:sz="0" w:space="0" w:color="auto"/>
            <w:bottom w:val="none" w:sz="0" w:space="0" w:color="auto"/>
            <w:right w:val="none" w:sz="0" w:space="0" w:color="auto"/>
          </w:divBdr>
        </w:div>
        <w:div w:id="1488788311">
          <w:marLeft w:val="720"/>
          <w:marRight w:val="0"/>
          <w:marTop w:val="0"/>
          <w:marBottom w:val="0"/>
          <w:divBdr>
            <w:top w:val="none" w:sz="0" w:space="0" w:color="auto"/>
            <w:left w:val="none" w:sz="0" w:space="0" w:color="auto"/>
            <w:bottom w:val="none" w:sz="0" w:space="0" w:color="auto"/>
            <w:right w:val="none" w:sz="0" w:space="0" w:color="auto"/>
          </w:divBdr>
        </w:div>
      </w:divsChild>
    </w:div>
    <w:div w:id="184146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gate.net/publication/358973841_Limitaciones_en_el_acceso_efectivo_al_seguro_de_riesgos_de_trabajo_Valoracion_juridica_de_los_cuellos_de_botella_exist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dc:description>8bS/aHUuKUWbxKDeF57geQ==</dc:description>
  <cp:lastModifiedBy>Monica Monney Barrantes</cp:lastModifiedBy>
  <cp:revision>2</cp:revision>
  <dcterms:created xsi:type="dcterms:W3CDTF">2022-06-20T14:21:00Z</dcterms:created>
  <dcterms:modified xsi:type="dcterms:W3CDTF">2022-06-20T14:21:00Z</dcterms:modified>
</cp:coreProperties>
</file>