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BD" w:rsidRDefault="00836D15">
      <w:pPr>
        <w:rPr>
          <w:sz w:val="24"/>
          <w:szCs w:val="24"/>
          <w:lang w:val="es-MX"/>
        </w:rPr>
      </w:pPr>
      <w:bookmarkStart w:id="0" w:name="_GoBack"/>
      <w:bookmarkEnd w:id="0"/>
      <w:r>
        <w:rPr>
          <w:sz w:val="24"/>
          <w:szCs w:val="24"/>
          <w:lang w:val="es-MX"/>
        </w:rPr>
        <w:t>NOTAS TECNICAS DE PREVENCION</w:t>
      </w:r>
      <w:r w:rsidR="009959DB">
        <w:rPr>
          <w:sz w:val="24"/>
          <w:szCs w:val="24"/>
          <w:lang w:val="es-MX"/>
        </w:rPr>
        <w:t xml:space="preserve"> SOBRE FACTORES DE RIESGO PSICOSOCIALES</w:t>
      </w:r>
    </w:p>
    <w:p w:rsidR="00EF67B2" w:rsidRDefault="00D6030C" w:rsidP="00AE3F35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los países de la Unión Europea el tema de los factores  riesgos psicosociales  en el trabajo se han analizado en mayor medida, realizándose encuestas nacionales y semanas específicas de reflexión  sobre el tema.</w:t>
      </w:r>
    </w:p>
    <w:p w:rsidR="00AE3F35" w:rsidRDefault="00D6030C" w:rsidP="00AE3F35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Instituto Nacional de Seguridad e Higiene del Trabajo  de España ha elaborado una serie de Normas técnicas de prevención </w:t>
      </w:r>
      <w:r w:rsidR="009959DB">
        <w:rPr>
          <w:sz w:val="24"/>
          <w:szCs w:val="24"/>
          <w:lang w:val="es-MX"/>
        </w:rPr>
        <w:t xml:space="preserve">(NTP) </w:t>
      </w:r>
      <w:r>
        <w:rPr>
          <w:sz w:val="24"/>
          <w:szCs w:val="24"/>
          <w:lang w:val="es-MX"/>
        </w:rPr>
        <w:t xml:space="preserve">en las que se han abordado temas </w:t>
      </w:r>
      <w:r w:rsidR="008C6D10">
        <w:rPr>
          <w:sz w:val="24"/>
          <w:szCs w:val="24"/>
          <w:lang w:val="es-MX"/>
        </w:rPr>
        <w:t>relacionados con los factores de riesgo psicosocial en el trabajo</w:t>
      </w:r>
      <w:r w:rsidR="00AE3F35">
        <w:rPr>
          <w:sz w:val="24"/>
          <w:szCs w:val="24"/>
          <w:lang w:val="es-MX"/>
        </w:rPr>
        <w:t>, que incluyen temas como carga mental, trabajo nocturno, comunicación, estrés, métodos de evaluación entre otros.</w:t>
      </w:r>
      <w:r w:rsidR="00993B9E">
        <w:rPr>
          <w:sz w:val="24"/>
          <w:szCs w:val="24"/>
          <w:lang w:val="es-MX"/>
        </w:rPr>
        <w:t xml:space="preserve"> </w:t>
      </w:r>
    </w:p>
    <w:p w:rsidR="008C6D10" w:rsidRDefault="00993B9E" w:rsidP="00AE3F35">
      <w:pPr>
        <w:jc w:val="both"/>
        <w:rPr>
          <w:color w:val="548DD4" w:themeColor="text2" w:themeTint="99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Estas se pueden descargar </w:t>
      </w:r>
      <w:r w:rsidR="009959DB">
        <w:rPr>
          <w:sz w:val="24"/>
          <w:szCs w:val="24"/>
          <w:lang w:val="es-MX"/>
        </w:rPr>
        <w:t xml:space="preserve"> por número  o nombre en la  siguiente Dirección:</w:t>
      </w:r>
      <w:r>
        <w:rPr>
          <w:sz w:val="24"/>
          <w:szCs w:val="24"/>
          <w:lang w:val="es-MX"/>
        </w:rPr>
        <w:t xml:space="preserve"> </w:t>
      </w:r>
      <w:hyperlink r:id="rId7" w:history="1">
        <w:r w:rsidR="009959DB" w:rsidRPr="00506105">
          <w:rPr>
            <w:rStyle w:val="Hipervnculo"/>
            <w:sz w:val="24"/>
            <w:szCs w:val="24"/>
            <w:lang w:val="es-MX"/>
          </w:rPr>
          <w:t>http://www.insht.es/portal/site/Insht/;VAPCOOKIE=xsfZR3kWrLJ991QQp1hjL16zkDnPQpLG1vt4MlQg5m6BQRnx2GPh!-38119536!-1193788914</w:t>
        </w:r>
      </w:hyperlink>
    </w:p>
    <w:p w:rsidR="009959DB" w:rsidRPr="009959DB" w:rsidRDefault="009959D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Algunas de las Normas técnicas de prevención que </w:t>
      </w:r>
      <w:r w:rsidR="00AE3F35">
        <w:rPr>
          <w:sz w:val="24"/>
          <w:szCs w:val="24"/>
          <w:lang w:val="es-MX"/>
        </w:rPr>
        <w:t>se pueden consultar son: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213: Satisfacción laboral: encuesta de evaluación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260: Trabajo a turnos: efectos médicos-patológicos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275: Carga Mental en el trabajo hospitalario: Guía para su valoración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310: Trabajo nocturno y trabajo a turnos: Alimentación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312: Comunicación interpersonal: el efecto Palo Alto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318: El estrés: proceso de generación en el ámbito laboral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349: Prevención del estrés: Intervención sobre el individuo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355: Fisiología del Estrés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NTP 394: Satisfacción </w:t>
      </w:r>
      <w:r w:rsidR="0012100A">
        <w:rPr>
          <w:sz w:val="24"/>
          <w:szCs w:val="24"/>
          <w:lang w:val="es-MX"/>
        </w:rPr>
        <w:t>laboral: escala</w:t>
      </w:r>
      <w:r>
        <w:rPr>
          <w:sz w:val="24"/>
          <w:szCs w:val="24"/>
          <w:lang w:val="es-MX"/>
        </w:rPr>
        <w:t xml:space="preserve"> general de satisfacción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NTP 405: Factor Humano y </w:t>
      </w:r>
      <w:r w:rsidR="0012100A">
        <w:rPr>
          <w:sz w:val="24"/>
          <w:szCs w:val="24"/>
          <w:lang w:val="es-MX"/>
        </w:rPr>
        <w:t>siniestralidad:</w:t>
      </w:r>
      <w:r>
        <w:rPr>
          <w:sz w:val="24"/>
          <w:szCs w:val="24"/>
          <w:lang w:val="es-MX"/>
        </w:rPr>
        <w:t xml:space="preserve"> aspectos sociales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413: Carga de trabajo y embarazo</w:t>
      </w:r>
    </w:p>
    <w:p w:rsidR="00836D15" w:rsidRDefault="00836D1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416: Actitudes frente al cambio en trabajadores de edad avanzada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438: Prevención del estrés: Intervención sobre la organización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NTP 439: El apoyo social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143: Factores psicosociales: metodologías de evaluación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444: Mejora del contenido del trabajo: rotación, ampliación y enriquecimiento de tareas.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445: Carga Mental de trabajo: fatiga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450: Factores psicosociales: fases para su evaluación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455: Trabajo a turnos y nocturno: aspectos organizativos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476: El hostigamiento psicológico en el trabajo: MOBBING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491: Actitudes y habilidades de los mandos frente al cambio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499: Nuevas formas de organizar el trabajo: la organización que aprende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504: Cambio de conducta y comunicación: Introducción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505: Cambio de conducta y comunicación: Metodología de actuación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507 Acosos sexual en el trabajo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534: Carga mental de trabajo: Factores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537: Gestión integral de riesgos y factor humano</w:t>
      </w:r>
    </w:p>
    <w:p w:rsidR="0012100A" w:rsidRDefault="00121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544: Estimación de la carga mental de trabajo: Método NASA TLX</w:t>
      </w:r>
    </w:p>
    <w:p w:rsidR="0012100A" w:rsidRDefault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574: Estrés en el colectivo docente: Metodología para su evaluación</w:t>
      </w:r>
    </w:p>
    <w:p w:rsidR="00A865D6" w:rsidRDefault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575: carga mental de trabajo: Indicadores</w:t>
      </w:r>
    </w:p>
    <w:p w:rsidR="00A865D6" w:rsidRDefault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581: Gestión del cambio organizativo</w:t>
      </w:r>
    </w:p>
    <w:p w:rsidR="00A865D6" w:rsidRDefault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626</w:t>
      </w:r>
      <w:proofErr w:type="gramStart"/>
      <w:r>
        <w:rPr>
          <w:sz w:val="24"/>
          <w:szCs w:val="24"/>
          <w:lang w:val="es-MX"/>
        </w:rPr>
        <w:t>:  Método</w:t>
      </w:r>
      <w:proofErr w:type="gram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Lest</w:t>
      </w:r>
      <w:proofErr w:type="spellEnd"/>
      <w:r>
        <w:rPr>
          <w:sz w:val="24"/>
          <w:szCs w:val="24"/>
          <w:lang w:val="es-MX"/>
        </w:rPr>
        <w:t xml:space="preserve"> (I)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627</w:t>
      </w:r>
      <w:proofErr w:type="gramStart"/>
      <w:r>
        <w:rPr>
          <w:sz w:val="24"/>
          <w:szCs w:val="24"/>
          <w:lang w:val="es-MX"/>
        </w:rPr>
        <w:t>:  Método</w:t>
      </w:r>
      <w:proofErr w:type="gram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Lest</w:t>
      </w:r>
      <w:proofErr w:type="spellEnd"/>
      <w:r>
        <w:rPr>
          <w:sz w:val="24"/>
          <w:szCs w:val="24"/>
          <w:lang w:val="es-MX"/>
        </w:rPr>
        <w:t xml:space="preserve"> (II)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659: Carga mental de trabajo: Diseño de tareas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702: El proceso de evaluación de los factores psicosociales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NTP 703: El método COPSOQ (Istas21, PSQC AT 21) de evaluación de riesgos psicosociales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704: Síndrome de estar quemado (I)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705:</w:t>
      </w:r>
      <w:r w:rsidRPr="00A865D6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Síndrome de estar quemado (II)</w:t>
      </w:r>
    </w:p>
    <w:p w:rsidR="00A865D6" w:rsidRDefault="00A865D6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NTP 730: </w:t>
      </w:r>
      <w:r w:rsidR="00FC1737">
        <w:rPr>
          <w:sz w:val="24"/>
          <w:szCs w:val="24"/>
          <w:lang w:val="es-MX"/>
        </w:rPr>
        <w:t>Tecno estrés</w:t>
      </w:r>
      <w:r>
        <w:rPr>
          <w:sz w:val="24"/>
          <w:szCs w:val="24"/>
          <w:lang w:val="es-MX"/>
        </w:rPr>
        <w:t xml:space="preserve"> concepto</w:t>
      </w:r>
      <w:r w:rsidR="0005456A">
        <w:rPr>
          <w:sz w:val="24"/>
          <w:szCs w:val="24"/>
          <w:lang w:val="es-MX"/>
        </w:rPr>
        <w:t>, medida e intervención psicosocial</w:t>
      </w:r>
    </w:p>
    <w:p w:rsidR="0005456A" w:rsidRDefault="0005456A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NTP 854: Acosos Psicológico en el trabajo: Definición </w:t>
      </w:r>
    </w:p>
    <w:p w:rsidR="0005456A" w:rsidRDefault="0005456A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860: Intervención psicosocial</w:t>
      </w:r>
    </w:p>
    <w:p w:rsidR="0005456A" w:rsidRDefault="0005456A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914: Embarazo, lactancia y trabajo</w:t>
      </w:r>
    </w:p>
    <w:p w:rsidR="0005456A" w:rsidRDefault="0005456A" w:rsidP="00A865D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NTP 916: Descanso en el trabajo I </w:t>
      </w:r>
      <w:proofErr w:type="gramStart"/>
      <w:r>
        <w:rPr>
          <w:sz w:val="24"/>
          <w:szCs w:val="24"/>
          <w:lang w:val="es-MX"/>
        </w:rPr>
        <w:t>( pausas</w:t>
      </w:r>
      <w:proofErr w:type="gramEnd"/>
      <w:r>
        <w:rPr>
          <w:sz w:val="24"/>
          <w:szCs w:val="24"/>
          <w:lang w:val="es-MX"/>
        </w:rPr>
        <w:t>)</w:t>
      </w:r>
    </w:p>
    <w:p w:rsidR="0005456A" w:rsidRDefault="0005456A" w:rsidP="0005456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NTP 917: Descanso en el trabajo I </w:t>
      </w:r>
      <w:proofErr w:type="gramStart"/>
      <w:r>
        <w:rPr>
          <w:sz w:val="24"/>
          <w:szCs w:val="24"/>
          <w:lang w:val="es-MX"/>
        </w:rPr>
        <w:t>( espacios</w:t>
      </w:r>
      <w:proofErr w:type="gramEnd"/>
      <w:r>
        <w:rPr>
          <w:sz w:val="24"/>
          <w:szCs w:val="24"/>
          <w:lang w:val="es-MX"/>
        </w:rPr>
        <w:t>)</w:t>
      </w:r>
    </w:p>
    <w:p w:rsidR="0005456A" w:rsidRDefault="0005456A" w:rsidP="0005456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NTP 926: Factores psicosociales: Metodología de evaluación</w:t>
      </w:r>
    </w:p>
    <w:p w:rsidR="0005456A" w:rsidRDefault="0005456A" w:rsidP="00A865D6">
      <w:pPr>
        <w:rPr>
          <w:sz w:val="24"/>
          <w:szCs w:val="24"/>
          <w:lang w:val="es-MX"/>
        </w:rPr>
      </w:pPr>
    </w:p>
    <w:p w:rsidR="00A865D6" w:rsidRDefault="00A865D6" w:rsidP="00A865D6">
      <w:pPr>
        <w:rPr>
          <w:sz w:val="24"/>
          <w:szCs w:val="24"/>
          <w:lang w:val="es-MX"/>
        </w:rPr>
      </w:pPr>
    </w:p>
    <w:p w:rsidR="00A865D6" w:rsidRDefault="00A865D6" w:rsidP="00A865D6">
      <w:pPr>
        <w:rPr>
          <w:sz w:val="24"/>
          <w:szCs w:val="24"/>
          <w:lang w:val="es-MX"/>
        </w:rPr>
      </w:pPr>
    </w:p>
    <w:p w:rsidR="00A865D6" w:rsidRDefault="00A865D6" w:rsidP="00A865D6">
      <w:pPr>
        <w:rPr>
          <w:sz w:val="24"/>
          <w:szCs w:val="24"/>
          <w:lang w:val="es-MX"/>
        </w:rPr>
      </w:pPr>
    </w:p>
    <w:p w:rsidR="00A865D6" w:rsidRDefault="00A865D6">
      <w:pPr>
        <w:rPr>
          <w:sz w:val="24"/>
          <w:szCs w:val="24"/>
          <w:lang w:val="es-MX"/>
        </w:rPr>
      </w:pPr>
    </w:p>
    <w:p w:rsidR="00836D15" w:rsidRDefault="00836D15">
      <w:pPr>
        <w:rPr>
          <w:sz w:val="24"/>
          <w:szCs w:val="24"/>
          <w:lang w:val="es-MX"/>
        </w:rPr>
      </w:pPr>
    </w:p>
    <w:p w:rsidR="00836D15" w:rsidRDefault="00836D15">
      <w:pPr>
        <w:rPr>
          <w:sz w:val="24"/>
          <w:szCs w:val="24"/>
          <w:lang w:val="es-MX"/>
        </w:rPr>
      </w:pPr>
    </w:p>
    <w:p w:rsidR="00836D15" w:rsidRPr="00836D15" w:rsidRDefault="00836D15">
      <w:pPr>
        <w:rPr>
          <w:sz w:val="24"/>
          <w:szCs w:val="24"/>
          <w:lang w:val="es-MX"/>
        </w:rPr>
      </w:pPr>
    </w:p>
    <w:sectPr w:rsidR="00836D15" w:rsidRPr="00836D15" w:rsidSect="009349B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01" w:rsidRDefault="00341501" w:rsidP="00836D15">
      <w:pPr>
        <w:spacing w:after="0" w:line="240" w:lineRule="auto"/>
      </w:pPr>
      <w:r>
        <w:separator/>
      </w:r>
    </w:p>
  </w:endnote>
  <w:endnote w:type="continuationSeparator" w:id="0">
    <w:p w:rsidR="00341501" w:rsidRDefault="00341501" w:rsidP="0083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01" w:rsidRDefault="00341501" w:rsidP="00836D15">
      <w:pPr>
        <w:spacing w:after="0" w:line="240" w:lineRule="auto"/>
      </w:pPr>
      <w:r>
        <w:separator/>
      </w:r>
    </w:p>
  </w:footnote>
  <w:footnote w:type="continuationSeparator" w:id="0">
    <w:p w:rsidR="00341501" w:rsidRDefault="00341501" w:rsidP="0083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ítulo"/>
      <w:id w:val="77887899"/>
      <w:placeholder>
        <w:docPart w:val="E18CD092E50B4F578B5D1718389614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36D15" w:rsidRPr="00836D15" w:rsidRDefault="00836D15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  <w:lang w:val="es-MX"/>
          </w:rPr>
        </w:pPr>
        <w:r>
          <w:rPr>
            <w:b/>
            <w:bCs/>
            <w:color w:val="1F497D" w:themeColor="text2"/>
            <w:sz w:val="28"/>
            <w:szCs w:val="28"/>
            <w:lang w:val="es-MX"/>
          </w:rPr>
          <w:t>BIBLIOGRAFIA RECOMENDADA</w:t>
        </w:r>
      </w:p>
    </w:sdtContent>
  </w:sdt>
  <w:sdt>
    <w:sdtPr>
      <w:rPr>
        <w:color w:val="4F81BD" w:themeColor="accent1"/>
        <w:lang w:val="es-MX"/>
      </w:rPr>
      <w:alias w:val="Subtítulo"/>
      <w:id w:val="77887903"/>
      <w:placeholder>
        <w:docPart w:val="5002922C25684296B658384B3C964AF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36D15" w:rsidRPr="00836D15" w:rsidRDefault="00EF67B2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  <w:lang w:val="es-MX"/>
          </w:rPr>
        </w:pPr>
        <w:r>
          <w:rPr>
            <w:color w:val="4F81BD" w:themeColor="accent1"/>
            <w:lang w:val="es-MX"/>
          </w:rPr>
          <w:t>FACTO</w:t>
        </w:r>
        <w:r w:rsidR="00836D15" w:rsidRPr="00836D15">
          <w:rPr>
            <w:color w:val="4F81BD" w:themeColor="accent1"/>
            <w:lang w:val="es-MX"/>
          </w:rPr>
          <w:t>RES DE RIESGO PSICOSOCIAL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8C921465618F4008B1417CB6F81C452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36D15" w:rsidRDefault="00836D15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NORMAS TÉCNICAS ESPAÑOLAS</w:t>
        </w:r>
      </w:p>
    </w:sdtContent>
  </w:sdt>
  <w:p w:rsidR="00836D15" w:rsidRPr="00836D15" w:rsidRDefault="00836D1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5"/>
    <w:rsid w:val="0005456A"/>
    <w:rsid w:val="0012100A"/>
    <w:rsid w:val="00341501"/>
    <w:rsid w:val="00836D15"/>
    <w:rsid w:val="008C6D10"/>
    <w:rsid w:val="009349BD"/>
    <w:rsid w:val="00993B9E"/>
    <w:rsid w:val="009959DB"/>
    <w:rsid w:val="009D7D11"/>
    <w:rsid w:val="00A865D6"/>
    <w:rsid w:val="00AE3F35"/>
    <w:rsid w:val="00D6030C"/>
    <w:rsid w:val="00EA2082"/>
    <w:rsid w:val="00EF67B2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559F31D-83E2-40F3-AE14-3AA40DE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D15"/>
  </w:style>
  <w:style w:type="paragraph" w:styleId="Piedepgina">
    <w:name w:val="footer"/>
    <w:basedOn w:val="Normal"/>
    <w:link w:val="PiedepginaCar"/>
    <w:uiPriority w:val="99"/>
    <w:semiHidden/>
    <w:unhideWhenUsed/>
    <w:rsid w:val="00836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6D15"/>
  </w:style>
  <w:style w:type="paragraph" w:styleId="Textodeglobo">
    <w:name w:val="Balloon Text"/>
    <w:basedOn w:val="Normal"/>
    <w:link w:val="TextodegloboCar"/>
    <w:uiPriority w:val="99"/>
    <w:semiHidden/>
    <w:unhideWhenUsed/>
    <w:rsid w:val="0083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D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5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sht.es/portal/site/Insht/;VAPCOOKIE=xsfZR3kWrLJ991QQp1hjL16zkDnPQpLG1vt4MlQg5m6BQRnx2GPh!-38119536!-11937889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8CD092E50B4F578B5D17183896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67A4-ACAF-4CD4-AF43-14D4E41497D4}"/>
      </w:docPartPr>
      <w:docPartBody>
        <w:p w:rsidR="00CF1CBB" w:rsidRDefault="00FC542C" w:rsidP="00FC542C">
          <w:pPr>
            <w:pStyle w:val="E18CD092E50B4F578B5D171838961460"/>
          </w:pPr>
          <w:r>
            <w:rPr>
              <w:b/>
              <w:bCs/>
              <w:color w:val="44546A" w:themeColor="text2"/>
              <w:sz w:val="28"/>
              <w:szCs w:val="28"/>
              <w:lang w:val="es-ES"/>
            </w:rPr>
            <w:t>[Escribir el título del documento]</w:t>
          </w:r>
        </w:p>
      </w:docPartBody>
    </w:docPart>
    <w:docPart>
      <w:docPartPr>
        <w:name w:val="5002922C25684296B658384B3C96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82E4-8286-42BA-BC84-1C36919A1B2D}"/>
      </w:docPartPr>
      <w:docPartBody>
        <w:p w:rsidR="00CF1CBB" w:rsidRDefault="00FC542C" w:rsidP="00FC542C">
          <w:pPr>
            <w:pStyle w:val="5002922C25684296B658384B3C964AF6"/>
          </w:pPr>
          <w:r>
            <w:rPr>
              <w:color w:val="5B9BD5" w:themeColor="accent1"/>
              <w:lang w:val="es-ES"/>
            </w:rPr>
            <w:t>[Escribir el subtítulo del documento]</w:t>
          </w:r>
        </w:p>
      </w:docPartBody>
    </w:docPart>
    <w:docPart>
      <w:docPartPr>
        <w:name w:val="8C921465618F4008B1417CB6F81C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58BE-A2A2-45D2-AAC8-447342868787}"/>
      </w:docPartPr>
      <w:docPartBody>
        <w:p w:rsidR="00CF1CBB" w:rsidRDefault="00FC542C" w:rsidP="00FC542C">
          <w:pPr>
            <w:pStyle w:val="8C921465618F4008B1417CB6F81C4523"/>
          </w:pPr>
          <w:r>
            <w:rPr>
              <w:color w:val="808080" w:themeColor="text1" w:themeTint="7F"/>
              <w:lang w:val="es-ES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542C"/>
    <w:rsid w:val="008506AB"/>
    <w:rsid w:val="00A10ACF"/>
    <w:rsid w:val="00CF1CBB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22BB7C283149C2B7A26B2736D573FC">
    <w:name w:val="6922BB7C283149C2B7A26B2736D573FC"/>
    <w:rsid w:val="00FC542C"/>
  </w:style>
  <w:style w:type="paragraph" w:customStyle="1" w:styleId="E18CD092E50B4F578B5D171838961460">
    <w:name w:val="E18CD092E50B4F578B5D171838961460"/>
    <w:rsid w:val="00FC542C"/>
  </w:style>
  <w:style w:type="paragraph" w:customStyle="1" w:styleId="5002922C25684296B658384B3C964AF6">
    <w:name w:val="5002922C25684296B658384B3C964AF6"/>
    <w:rsid w:val="00FC542C"/>
  </w:style>
  <w:style w:type="paragraph" w:customStyle="1" w:styleId="8C921465618F4008B1417CB6F81C4523">
    <w:name w:val="8C921465618F4008B1417CB6F81C4523"/>
    <w:rsid w:val="00FC5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B3312-24EB-4C20-B5D5-BD69FB1D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 RECOMENDADA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 RECOMENDADA</dc:title>
  <dc:subject>FACTORES DE RIESGO PSICOSOCIAL</dc:subject>
  <dc:creator>NORMAS TÉCNICAS ESPAÑOLAS</dc:creator>
  <cp:keywords/>
  <dc:description/>
  <cp:lastModifiedBy>Erick</cp:lastModifiedBy>
  <cp:revision>2</cp:revision>
  <dcterms:created xsi:type="dcterms:W3CDTF">2013-03-11T14:39:00Z</dcterms:created>
  <dcterms:modified xsi:type="dcterms:W3CDTF">2013-03-11T14:39:00Z</dcterms:modified>
</cp:coreProperties>
</file>